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0B060" w14:textId="7219BFF7" w:rsidR="0078743F" w:rsidRPr="000E15FC" w:rsidRDefault="0078743F" w:rsidP="0078743F">
      <w:pPr>
        <w:spacing w:after="0" w:line="240" w:lineRule="auto"/>
        <w:jc w:val="both"/>
        <w:rPr>
          <w:b/>
          <w:sz w:val="26"/>
          <w:szCs w:val="26"/>
          <w:u w:val="single"/>
        </w:rPr>
      </w:pPr>
      <w:r w:rsidRPr="000E15FC">
        <w:rPr>
          <w:b/>
          <w:sz w:val="26"/>
          <w:szCs w:val="26"/>
          <w:u w:val="single"/>
        </w:rPr>
        <w:t xml:space="preserve">Response to Education Select Committee inquiry on </w:t>
      </w:r>
      <w:r>
        <w:rPr>
          <w:b/>
          <w:sz w:val="26"/>
          <w:szCs w:val="26"/>
          <w:u w:val="single"/>
        </w:rPr>
        <w:t>left behind pupils from disadvantaged backgrounds</w:t>
      </w:r>
      <w:bookmarkStart w:id="0" w:name="_GoBack"/>
      <w:bookmarkEnd w:id="0"/>
    </w:p>
    <w:p w14:paraId="308B22C0" w14:textId="77777777" w:rsidR="0078743F" w:rsidRDefault="0078743F" w:rsidP="0078743F">
      <w:pPr>
        <w:spacing w:after="0" w:line="240" w:lineRule="auto"/>
        <w:jc w:val="both"/>
      </w:pPr>
    </w:p>
    <w:p w14:paraId="7F83BBDD" w14:textId="3C036835" w:rsidR="0078743F" w:rsidRPr="0078743F" w:rsidRDefault="0078743F" w:rsidP="0078743F">
      <w:pPr>
        <w:spacing w:after="0" w:line="240" w:lineRule="auto"/>
        <w:jc w:val="both"/>
        <w:rPr>
          <w:b/>
        </w:rPr>
      </w:pPr>
      <w:r>
        <w:t>The National Literacy Trust is an independent charity dedicated to raising literacy levels in the UK. Our mission is to give disadvantaged children and young people the literacy skills to succeed in life</w:t>
      </w:r>
    </w:p>
    <w:p w14:paraId="359AFFB6" w14:textId="77777777" w:rsidR="0078743F" w:rsidRDefault="0078743F" w:rsidP="00542F77">
      <w:pPr>
        <w:spacing w:after="0" w:line="240" w:lineRule="auto"/>
        <w:rPr>
          <w:b/>
          <w:bCs/>
          <w:sz w:val="24"/>
          <w:szCs w:val="24"/>
          <w:lang w:eastAsia="en-GB"/>
        </w:rPr>
      </w:pPr>
    </w:p>
    <w:p w14:paraId="1C7AA92D" w14:textId="7BCAFEB9" w:rsidR="00542F77" w:rsidRDefault="00542F77" w:rsidP="00542F77">
      <w:pPr>
        <w:spacing w:after="0" w:line="240" w:lineRule="auto"/>
        <w:rPr>
          <w:b/>
          <w:bCs/>
          <w:sz w:val="24"/>
          <w:szCs w:val="24"/>
          <w:lang w:eastAsia="en-GB"/>
        </w:rPr>
      </w:pPr>
      <w:r w:rsidRPr="00542F77">
        <w:rPr>
          <w:b/>
          <w:bCs/>
          <w:sz w:val="24"/>
          <w:szCs w:val="24"/>
          <w:lang w:eastAsia="en-GB"/>
        </w:rPr>
        <w:t>The extent of underachievement for white pupils who are eligible for FSM (free school meals), and how well the DfE’s statistics (including Progress 8 measures) capture that</w:t>
      </w:r>
    </w:p>
    <w:p w14:paraId="032E3A1E" w14:textId="1F78328B" w:rsidR="004920B2" w:rsidRDefault="004920B2" w:rsidP="00542F77">
      <w:pPr>
        <w:spacing w:after="0" w:line="240" w:lineRule="auto"/>
        <w:rPr>
          <w:b/>
          <w:bCs/>
          <w:sz w:val="24"/>
          <w:szCs w:val="24"/>
          <w:lang w:eastAsia="en-GB"/>
        </w:rPr>
      </w:pPr>
    </w:p>
    <w:p w14:paraId="324D5C92" w14:textId="3ADB9B2F" w:rsidR="0076289D" w:rsidRPr="004920B2" w:rsidRDefault="00632B6C" w:rsidP="00542F77">
      <w:pPr>
        <w:spacing w:after="0" w:line="240" w:lineRule="auto"/>
        <w:rPr>
          <w:sz w:val="24"/>
          <w:szCs w:val="24"/>
          <w:lang w:eastAsia="en-GB"/>
        </w:rPr>
      </w:pPr>
      <w:r>
        <w:rPr>
          <w:sz w:val="24"/>
          <w:szCs w:val="24"/>
          <w:lang w:eastAsia="en-GB"/>
        </w:rPr>
        <w:t>DfE</w:t>
      </w:r>
      <w:r w:rsidR="0076289D">
        <w:rPr>
          <w:sz w:val="24"/>
          <w:szCs w:val="24"/>
          <w:lang w:eastAsia="en-GB"/>
        </w:rPr>
        <w:t xml:space="preserve"> data </w:t>
      </w:r>
      <w:r>
        <w:rPr>
          <w:sz w:val="24"/>
          <w:szCs w:val="24"/>
          <w:lang w:eastAsia="en-GB"/>
        </w:rPr>
        <w:t xml:space="preserve">clearly </w:t>
      </w:r>
      <w:r w:rsidR="0076289D">
        <w:rPr>
          <w:sz w:val="24"/>
          <w:szCs w:val="24"/>
          <w:lang w:eastAsia="en-GB"/>
        </w:rPr>
        <w:t xml:space="preserve">shows that white pupils who are eligible for free school meals have lower attainment compared to pupils from other </w:t>
      </w:r>
      <w:r w:rsidR="00A5252F">
        <w:rPr>
          <w:sz w:val="24"/>
          <w:szCs w:val="24"/>
          <w:lang w:eastAsia="en-GB"/>
        </w:rPr>
        <w:t xml:space="preserve">ethnic </w:t>
      </w:r>
      <w:r w:rsidR="0076289D">
        <w:rPr>
          <w:sz w:val="24"/>
          <w:szCs w:val="24"/>
          <w:lang w:eastAsia="en-GB"/>
        </w:rPr>
        <w:t>backgrounds who are eligible for free school meals</w:t>
      </w:r>
      <w:r w:rsidR="003A0559">
        <w:rPr>
          <w:sz w:val="24"/>
          <w:szCs w:val="24"/>
          <w:lang w:eastAsia="en-GB"/>
        </w:rPr>
        <w:t>. T</w:t>
      </w:r>
      <w:r w:rsidR="00A5252F">
        <w:rPr>
          <w:sz w:val="24"/>
          <w:szCs w:val="24"/>
          <w:lang w:eastAsia="en-GB"/>
        </w:rPr>
        <w:t>his is an issue of concern that should be investigated</w:t>
      </w:r>
      <w:r w:rsidR="003A0559">
        <w:rPr>
          <w:sz w:val="24"/>
          <w:szCs w:val="24"/>
          <w:lang w:eastAsia="en-GB"/>
        </w:rPr>
        <w:t xml:space="preserve"> further</w:t>
      </w:r>
      <w:r>
        <w:rPr>
          <w:sz w:val="24"/>
          <w:szCs w:val="24"/>
          <w:lang w:eastAsia="en-GB"/>
        </w:rPr>
        <w:t>. However</w:t>
      </w:r>
      <w:r w:rsidR="0076289D">
        <w:rPr>
          <w:sz w:val="24"/>
          <w:szCs w:val="24"/>
          <w:lang w:eastAsia="en-GB"/>
        </w:rPr>
        <w:t xml:space="preserve"> </w:t>
      </w:r>
      <w:r w:rsidR="00C717BE">
        <w:rPr>
          <w:sz w:val="24"/>
          <w:szCs w:val="24"/>
          <w:lang w:eastAsia="en-GB"/>
        </w:rPr>
        <w:t>many reports</w:t>
      </w:r>
      <w:r>
        <w:rPr>
          <w:sz w:val="24"/>
          <w:szCs w:val="24"/>
          <w:lang w:eastAsia="en-GB"/>
        </w:rPr>
        <w:t>, including reports produced by the DfE,</w:t>
      </w:r>
      <w:r w:rsidR="00C717BE">
        <w:rPr>
          <w:sz w:val="24"/>
          <w:szCs w:val="24"/>
          <w:lang w:eastAsia="en-GB"/>
        </w:rPr>
        <w:t xml:space="preserve"> </w:t>
      </w:r>
      <w:r w:rsidR="003B52BA">
        <w:rPr>
          <w:sz w:val="24"/>
          <w:szCs w:val="24"/>
          <w:lang w:eastAsia="en-GB"/>
        </w:rPr>
        <w:t xml:space="preserve">tend to </w:t>
      </w:r>
      <w:r w:rsidR="00C717BE">
        <w:rPr>
          <w:sz w:val="24"/>
          <w:szCs w:val="24"/>
          <w:lang w:eastAsia="en-GB"/>
        </w:rPr>
        <w:t>use FMS eligibility interchangeably with the term ‘working class’</w:t>
      </w:r>
      <w:r w:rsidR="00C91FA1">
        <w:rPr>
          <w:sz w:val="24"/>
          <w:szCs w:val="24"/>
          <w:lang w:eastAsia="en-GB"/>
        </w:rPr>
        <w:t>, which is not always helpful</w:t>
      </w:r>
      <w:r w:rsidR="00C717BE">
        <w:rPr>
          <w:sz w:val="24"/>
          <w:szCs w:val="24"/>
          <w:lang w:eastAsia="en-GB"/>
        </w:rPr>
        <w:t>. Many of those who would define themselves as working class would not fall within the FSM group: a Centre for Research in Race and Education survey found that 57% of British adults describe themselves as working class, but FSM pupils account for around 14% of 16 year olds</w:t>
      </w:r>
      <w:r w:rsidR="00C717BE">
        <w:rPr>
          <w:rStyle w:val="FootnoteReference"/>
          <w:sz w:val="24"/>
          <w:szCs w:val="24"/>
          <w:lang w:eastAsia="en-GB"/>
        </w:rPr>
        <w:footnoteReference w:id="1"/>
      </w:r>
      <w:r w:rsidR="00C717BE">
        <w:rPr>
          <w:sz w:val="24"/>
          <w:szCs w:val="24"/>
          <w:lang w:eastAsia="en-GB"/>
        </w:rPr>
        <w:t>.</w:t>
      </w:r>
      <w:r w:rsidR="006753DA">
        <w:rPr>
          <w:sz w:val="24"/>
          <w:szCs w:val="24"/>
          <w:lang w:eastAsia="en-GB"/>
        </w:rPr>
        <w:t xml:space="preserve"> Some research therefore argues that using FSM data as a proxy for the working class has potentially dangerous implications for the public debate about race and education</w:t>
      </w:r>
      <w:r w:rsidR="00C91FA1">
        <w:rPr>
          <w:rStyle w:val="FootnoteReference"/>
          <w:sz w:val="24"/>
          <w:szCs w:val="24"/>
          <w:lang w:eastAsia="en-GB"/>
        </w:rPr>
        <w:footnoteReference w:id="2"/>
      </w:r>
      <w:r w:rsidR="006753DA">
        <w:rPr>
          <w:sz w:val="24"/>
          <w:szCs w:val="24"/>
          <w:lang w:eastAsia="en-GB"/>
        </w:rPr>
        <w:t xml:space="preserve">. </w:t>
      </w:r>
    </w:p>
    <w:p w14:paraId="6D44837B" w14:textId="77777777" w:rsidR="00542F77" w:rsidRPr="00542F77" w:rsidRDefault="00542F77" w:rsidP="00542F77">
      <w:pPr>
        <w:spacing w:after="0" w:line="240" w:lineRule="auto"/>
        <w:rPr>
          <w:b/>
          <w:bCs/>
          <w:sz w:val="24"/>
          <w:szCs w:val="24"/>
          <w:lang w:eastAsia="en-GB"/>
        </w:rPr>
      </w:pPr>
    </w:p>
    <w:p w14:paraId="604147AA" w14:textId="3957C0B8" w:rsidR="00542F77" w:rsidRDefault="00542F77" w:rsidP="00542F77">
      <w:pPr>
        <w:spacing w:after="0" w:line="240" w:lineRule="auto"/>
        <w:rPr>
          <w:b/>
          <w:bCs/>
          <w:sz w:val="24"/>
          <w:szCs w:val="24"/>
          <w:lang w:eastAsia="en-GB"/>
        </w:rPr>
      </w:pPr>
      <w:r w:rsidRPr="00542F77">
        <w:rPr>
          <w:b/>
          <w:bCs/>
          <w:sz w:val="24"/>
          <w:szCs w:val="24"/>
          <w:lang w:eastAsia="en-GB"/>
        </w:rPr>
        <w:t>The variation within the cohort of white pupils who are eligible for FSM (including regional variation, and variation between the five specific ethnic groups that sit under the broad ‘White’ category), and how well the DfE’s statistics capture that</w:t>
      </w:r>
    </w:p>
    <w:p w14:paraId="76893512" w14:textId="08C5F8C4" w:rsidR="009260F4" w:rsidRDefault="009260F4" w:rsidP="00542F77">
      <w:pPr>
        <w:spacing w:after="0" w:line="240" w:lineRule="auto"/>
        <w:rPr>
          <w:b/>
          <w:bCs/>
          <w:sz w:val="24"/>
          <w:szCs w:val="24"/>
          <w:lang w:eastAsia="en-GB"/>
        </w:rPr>
      </w:pPr>
    </w:p>
    <w:p w14:paraId="2DE5292F" w14:textId="1CB6D4EE" w:rsidR="009260F4" w:rsidRPr="009260F4" w:rsidRDefault="009260F4" w:rsidP="00542F77">
      <w:pPr>
        <w:spacing w:after="0" w:line="240" w:lineRule="auto"/>
        <w:rPr>
          <w:sz w:val="24"/>
          <w:szCs w:val="24"/>
          <w:lang w:eastAsia="en-GB"/>
        </w:rPr>
      </w:pPr>
      <w:r w:rsidRPr="009260F4">
        <w:rPr>
          <w:sz w:val="24"/>
          <w:szCs w:val="24"/>
          <w:lang w:eastAsia="en-GB"/>
        </w:rPr>
        <w:t xml:space="preserve">n/a </w:t>
      </w:r>
    </w:p>
    <w:p w14:paraId="39000EC9" w14:textId="77777777" w:rsidR="00542F77" w:rsidRPr="00542F77" w:rsidRDefault="00542F77" w:rsidP="00542F77">
      <w:pPr>
        <w:spacing w:after="0" w:line="240" w:lineRule="auto"/>
        <w:rPr>
          <w:b/>
          <w:bCs/>
          <w:sz w:val="24"/>
          <w:szCs w:val="24"/>
          <w:lang w:eastAsia="en-GB"/>
        </w:rPr>
      </w:pPr>
    </w:p>
    <w:p w14:paraId="33BC697D" w14:textId="177A77C4" w:rsidR="00542F77" w:rsidRDefault="00542F77" w:rsidP="00542F77">
      <w:pPr>
        <w:spacing w:after="0" w:line="240" w:lineRule="auto"/>
        <w:rPr>
          <w:b/>
          <w:bCs/>
          <w:sz w:val="24"/>
          <w:szCs w:val="24"/>
          <w:lang w:eastAsia="en-GB"/>
        </w:rPr>
      </w:pPr>
      <w:r w:rsidRPr="00542F77">
        <w:rPr>
          <w:b/>
          <w:bCs/>
          <w:sz w:val="24"/>
          <w:szCs w:val="24"/>
          <w:lang w:eastAsia="en-GB"/>
        </w:rPr>
        <w:t>The principal factors that contribute to this underachievement, with reference to:</w:t>
      </w:r>
    </w:p>
    <w:p w14:paraId="5051543C" w14:textId="77777777" w:rsidR="00542F77" w:rsidRPr="00542F77" w:rsidRDefault="00542F77" w:rsidP="00542F77">
      <w:pPr>
        <w:spacing w:after="0" w:line="240" w:lineRule="auto"/>
        <w:rPr>
          <w:b/>
          <w:bCs/>
          <w:sz w:val="24"/>
          <w:szCs w:val="24"/>
          <w:lang w:eastAsia="en-GB"/>
        </w:rPr>
      </w:pPr>
    </w:p>
    <w:p w14:paraId="5E27BA9F" w14:textId="4C14B13E" w:rsidR="00542F77" w:rsidRDefault="00542F77" w:rsidP="00542F77">
      <w:pPr>
        <w:pStyle w:val="ListParagraph"/>
        <w:numPr>
          <w:ilvl w:val="0"/>
          <w:numId w:val="5"/>
        </w:numPr>
        <w:spacing w:after="0" w:line="240" w:lineRule="auto"/>
        <w:rPr>
          <w:b/>
          <w:bCs/>
          <w:szCs w:val="24"/>
          <w:lang w:eastAsia="en-GB"/>
        </w:rPr>
      </w:pPr>
      <w:r w:rsidRPr="00542F77">
        <w:rPr>
          <w:b/>
          <w:bCs/>
          <w:szCs w:val="24"/>
          <w:lang w:eastAsia="en-GB"/>
        </w:rPr>
        <w:t xml:space="preserve">The availability and quality of early years provision </w:t>
      </w:r>
    </w:p>
    <w:p w14:paraId="50E07555" w14:textId="6A767283" w:rsidR="00C94A88" w:rsidRDefault="00C94A88" w:rsidP="00C94A88">
      <w:pPr>
        <w:spacing w:after="0" w:line="240" w:lineRule="auto"/>
        <w:rPr>
          <w:b/>
          <w:bCs/>
          <w:szCs w:val="24"/>
          <w:lang w:eastAsia="en-GB"/>
        </w:rPr>
      </w:pPr>
    </w:p>
    <w:p w14:paraId="5D13F9F5" w14:textId="6B9BF3ED" w:rsidR="00C94A88" w:rsidRDefault="00D83923" w:rsidP="00C94A88">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Pre-school experiences can affect child outcomes up to the end of primary school and into KS3, and continue beyond the end of compulsory education</w:t>
      </w:r>
      <w:r>
        <w:rPr>
          <w:rStyle w:val="FootnoteReference"/>
          <w:rFonts w:eastAsia="Times New Roman" w:cstheme="minorHAnsi"/>
          <w:color w:val="000000"/>
          <w:sz w:val="24"/>
          <w:szCs w:val="24"/>
          <w:lang w:eastAsia="en-GB"/>
        </w:rPr>
        <w:footnoteReference w:id="3"/>
      </w:r>
      <w:r>
        <w:rPr>
          <w:rFonts w:eastAsia="Times New Roman" w:cstheme="minorHAnsi"/>
          <w:color w:val="000000"/>
          <w:sz w:val="24"/>
          <w:szCs w:val="24"/>
          <w:lang w:eastAsia="en-GB"/>
        </w:rPr>
        <w:t xml:space="preserve">. </w:t>
      </w:r>
      <w:r w:rsidR="00C94A88">
        <w:rPr>
          <w:rFonts w:eastAsia="Times New Roman" w:cstheme="minorHAnsi"/>
          <w:color w:val="000000"/>
          <w:sz w:val="24"/>
          <w:szCs w:val="24"/>
          <w:lang w:eastAsia="en-GB"/>
        </w:rPr>
        <w:t xml:space="preserve">Disadvantaged children in particular benefit significantly from good quality </w:t>
      </w:r>
      <w:r w:rsidR="00923C1B">
        <w:rPr>
          <w:rFonts w:eastAsia="Times New Roman" w:cstheme="minorHAnsi"/>
          <w:color w:val="000000"/>
          <w:sz w:val="24"/>
          <w:szCs w:val="24"/>
          <w:lang w:eastAsia="en-GB"/>
        </w:rPr>
        <w:t>early years provision</w:t>
      </w:r>
      <w:r w:rsidR="00C94A88">
        <w:rPr>
          <w:rFonts w:eastAsia="Times New Roman" w:cstheme="minorHAnsi"/>
          <w:color w:val="000000"/>
          <w:sz w:val="24"/>
          <w:szCs w:val="24"/>
          <w:lang w:eastAsia="en-GB"/>
        </w:rPr>
        <w:t xml:space="preserve">, </w:t>
      </w:r>
      <w:r w:rsidR="003C77A3">
        <w:rPr>
          <w:rFonts w:eastAsia="Times New Roman" w:cstheme="minorHAnsi"/>
          <w:color w:val="000000"/>
          <w:sz w:val="24"/>
          <w:szCs w:val="24"/>
          <w:lang w:eastAsia="en-GB"/>
        </w:rPr>
        <w:t>in terms of</w:t>
      </w:r>
      <w:r w:rsidR="00C94A88">
        <w:rPr>
          <w:rFonts w:eastAsia="Times New Roman" w:cstheme="minorHAnsi"/>
          <w:color w:val="000000"/>
          <w:sz w:val="24"/>
          <w:szCs w:val="24"/>
          <w:lang w:eastAsia="en-GB"/>
        </w:rPr>
        <w:t xml:space="preserve"> intellectual and social behavioural development</w:t>
      </w:r>
      <w:r w:rsidR="00C94A88">
        <w:rPr>
          <w:rStyle w:val="FootnoteReference"/>
          <w:rFonts w:eastAsia="Times New Roman" w:cstheme="minorHAnsi"/>
          <w:color w:val="000000"/>
          <w:sz w:val="24"/>
          <w:szCs w:val="24"/>
          <w:lang w:eastAsia="en-GB"/>
        </w:rPr>
        <w:footnoteReference w:id="4"/>
      </w:r>
      <w:r w:rsidR="00C94A88">
        <w:rPr>
          <w:rFonts w:eastAsia="Times New Roman" w:cstheme="minorHAnsi"/>
          <w:color w:val="000000"/>
          <w:sz w:val="24"/>
          <w:szCs w:val="24"/>
          <w:lang w:eastAsia="en-GB"/>
        </w:rPr>
        <w:t>. Early years settings can</w:t>
      </w:r>
      <w:r w:rsidR="00E1449D">
        <w:rPr>
          <w:rFonts w:eastAsia="Times New Roman" w:cstheme="minorHAnsi"/>
          <w:color w:val="000000"/>
          <w:sz w:val="24"/>
          <w:szCs w:val="24"/>
          <w:lang w:eastAsia="en-GB"/>
        </w:rPr>
        <w:t xml:space="preserve"> also</w:t>
      </w:r>
      <w:r w:rsidR="00C94A88">
        <w:rPr>
          <w:rFonts w:eastAsia="Times New Roman" w:cstheme="minorHAnsi"/>
          <w:color w:val="000000"/>
          <w:sz w:val="24"/>
          <w:szCs w:val="24"/>
          <w:lang w:eastAsia="en-GB"/>
        </w:rPr>
        <w:t xml:space="preserve"> </w:t>
      </w:r>
      <w:r w:rsidR="0093097F">
        <w:rPr>
          <w:rFonts w:eastAsia="Times New Roman" w:cstheme="minorHAnsi"/>
          <w:color w:val="000000"/>
          <w:sz w:val="24"/>
          <w:szCs w:val="24"/>
          <w:lang w:eastAsia="en-GB"/>
        </w:rPr>
        <w:t>support parents to improve the home learning environment</w:t>
      </w:r>
      <w:r w:rsidR="00AF4E47">
        <w:rPr>
          <w:rFonts w:eastAsia="Times New Roman" w:cstheme="minorHAnsi"/>
          <w:color w:val="000000"/>
          <w:sz w:val="24"/>
          <w:szCs w:val="24"/>
          <w:lang w:eastAsia="en-GB"/>
        </w:rPr>
        <w:t xml:space="preserve">, </w:t>
      </w:r>
      <w:r w:rsidR="0093097F">
        <w:rPr>
          <w:rFonts w:eastAsia="Times New Roman" w:cstheme="minorHAnsi"/>
          <w:color w:val="000000"/>
          <w:sz w:val="24"/>
          <w:szCs w:val="24"/>
          <w:lang w:eastAsia="en-GB"/>
        </w:rPr>
        <w:t>and</w:t>
      </w:r>
      <w:r w:rsidR="00C94A88">
        <w:rPr>
          <w:rFonts w:eastAsia="Times New Roman" w:cstheme="minorHAnsi"/>
          <w:color w:val="000000"/>
          <w:sz w:val="24"/>
          <w:szCs w:val="24"/>
          <w:lang w:eastAsia="en-GB"/>
        </w:rPr>
        <w:t xml:space="preserve"> help children make the transition to Year 1</w:t>
      </w:r>
      <w:r w:rsidR="0093097F">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t>
      </w:r>
      <w:r w:rsidR="00AA6283">
        <w:rPr>
          <w:rFonts w:eastAsia="Times New Roman" w:cstheme="minorHAnsi"/>
          <w:color w:val="000000"/>
          <w:sz w:val="24"/>
          <w:szCs w:val="24"/>
          <w:lang w:eastAsia="en-GB"/>
        </w:rPr>
        <w:t>Research for the DfE found that children who attended high quality pre-school for 2-3 years were almost 8 months ahead in their literacy development compared to children who had not attended pre-school.</w:t>
      </w:r>
      <w:r w:rsidR="00AA6283">
        <w:rPr>
          <w:rStyle w:val="FootnoteReference"/>
          <w:rFonts w:eastAsia="Times New Roman" w:cstheme="minorHAnsi"/>
          <w:color w:val="000000"/>
          <w:sz w:val="24"/>
          <w:szCs w:val="24"/>
          <w:lang w:eastAsia="en-GB"/>
        </w:rPr>
        <w:footnoteReference w:id="5"/>
      </w:r>
      <w:r w:rsidR="00AA6283">
        <w:rPr>
          <w:rFonts w:eastAsia="Times New Roman" w:cstheme="minorHAnsi"/>
          <w:color w:val="000000"/>
          <w:sz w:val="24"/>
          <w:szCs w:val="24"/>
          <w:lang w:eastAsia="en-GB"/>
        </w:rPr>
        <w:t xml:space="preserve"> </w:t>
      </w:r>
      <w:r w:rsidR="00A54851">
        <w:rPr>
          <w:rFonts w:eastAsia="Times New Roman" w:cstheme="minorHAnsi"/>
          <w:color w:val="000000"/>
          <w:sz w:val="24"/>
          <w:szCs w:val="24"/>
          <w:lang w:eastAsia="en-GB"/>
        </w:rPr>
        <w:t>However, disadvantaged children spend significantly less time in pre-school than children from more affluent backgrounds.</w:t>
      </w:r>
      <w:r w:rsidR="00A54851">
        <w:rPr>
          <w:rStyle w:val="FootnoteReference"/>
          <w:rFonts w:eastAsia="Times New Roman" w:cstheme="minorHAnsi"/>
          <w:color w:val="000000"/>
          <w:sz w:val="24"/>
          <w:szCs w:val="24"/>
          <w:lang w:eastAsia="en-GB"/>
        </w:rPr>
        <w:footnoteReference w:id="6"/>
      </w:r>
    </w:p>
    <w:p w14:paraId="353A01F2" w14:textId="0D696C38" w:rsidR="00E66DD8" w:rsidRDefault="00E66DD8" w:rsidP="00C94A88">
      <w:pPr>
        <w:spacing w:after="0" w:line="240" w:lineRule="auto"/>
        <w:rPr>
          <w:rFonts w:eastAsia="Times New Roman" w:cstheme="minorHAnsi"/>
          <w:color w:val="000000"/>
          <w:sz w:val="24"/>
          <w:szCs w:val="24"/>
          <w:lang w:eastAsia="en-GB"/>
        </w:rPr>
      </w:pPr>
    </w:p>
    <w:p w14:paraId="7FF9CEC2" w14:textId="39AF33E9" w:rsidR="003C77A3" w:rsidRDefault="00E66DD8" w:rsidP="00C94A88">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 xml:space="preserve">The quality of pre-school </w:t>
      </w:r>
      <w:r w:rsidR="007E6000">
        <w:rPr>
          <w:rFonts w:eastAsia="Times New Roman" w:cstheme="minorHAnsi"/>
          <w:color w:val="000000"/>
          <w:sz w:val="24"/>
          <w:szCs w:val="24"/>
          <w:lang w:eastAsia="en-GB"/>
        </w:rPr>
        <w:t xml:space="preserve">has a </w:t>
      </w:r>
      <w:r>
        <w:rPr>
          <w:rFonts w:eastAsia="Times New Roman" w:cstheme="minorHAnsi"/>
          <w:color w:val="000000"/>
          <w:sz w:val="24"/>
          <w:szCs w:val="24"/>
          <w:lang w:eastAsia="en-GB"/>
        </w:rPr>
        <w:t>significant</w:t>
      </w:r>
      <w:r w:rsidR="007E6000">
        <w:rPr>
          <w:rFonts w:eastAsia="Times New Roman" w:cstheme="minorHAnsi"/>
          <w:color w:val="000000"/>
          <w:sz w:val="24"/>
          <w:szCs w:val="24"/>
          <w:lang w:eastAsia="en-GB"/>
        </w:rPr>
        <w:t xml:space="preserve"> impact on children’s life chances:</w:t>
      </w:r>
      <w:r>
        <w:rPr>
          <w:rFonts w:eastAsia="Times New Roman" w:cstheme="minorHAnsi"/>
          <w:color w:val="000000"/>
          <w:sz w:val="24"/>
          <w:szCs w:val="24"/>
          <w:lang w:eastAsia="en-GB"/>
        </w:rPr>
        <w:t xml:space="preserve"> </w:t>
      </w:r>
      <w:r w:rsidR="00214884">
        <w:rPr>
          <w:rFonts w:eastAsia="Times New Roman" w:cstheme="minorHAnsi"/>
          <w:color w:val="000000"/>
          <w:sz w:val="24"/>
          <w:szCs w:val="24"/>
          <w:lang w:eastAsia="en-GB"/>
        </w:rPr>
        <w:t xml:space="preserve">it can </w:t>
      </w:r>
      <w:r>
        <w:rPr>
          <w:rFonts w:eastAsia="Times New Roman" w:cstheme="minorHAnsi"/>
          <w:color w:val="000000"/>
          <w:sz w:val="24"/>
          <w:szCs w:val="24"/>
          <w:lang w:eastAsia="en-GB"/>
        </w:rPr>
        <w:t>predict total GCSE scores as well as English and maths grades</w:t>
      </w:r>
      <w:r w:rsidR="00513F36">
        <w:rPr>
          <w:rFonts w:eastAsia="Times New Roman" w:cstheme="minorHAnsi"/>
          <w:color w:val="000000"/>
          <w:sz w:val="24"/>
          <w:szCs w:val="24"/>
          <w:lang w:eastAsia="en-GB"/>
        </w:rPr>
        <w:t xml:space="preserve">, </w:t>
      </w:r>
      <w:r w:rsidR="00FD2B33">
        <w:rPr>
          <w:rFonts w:eastAsia="Times New Roman" w:cstheme="minorHAnsi"/>
          <w:color w:val="000000"/>
          <w:sz w:val="24"/>
          <w:szCs w:val="24"/>
          <w:lang w:eastAsia="en-GB"/>
        </w:rPr>
        <w:t>particularly</w:t>
      </w:r>
      <w:r w:rsidR="00513F36">
        <w:rPr>
          <w:rFonts w:eastAsia="Times New Roman" w:cstheme="minorHAnsi"/>
          <w:color w:val="000000"/>
          <w:sz w:val="24"/>
          <w:szCs w:val="24"/>
          <w:lang w:eastAsia="en-GB"/>
        </w:rPr>
        <w:t xml:space="preserve"> for students whose parents have lower qualifications</w:t>
      </w:r>
      <w:r>
        <w:rPr>
          <w:rStyle w:val="FootnoteReference"/>
          <w:rFonts w:eastAsia="Times New Roman" w:cstheme="minorHAnsi"/>
          <w:color w:val="000000"/>
          <w:sz w:val="24"/>
          <w:szCs w:val="24"/>
          <w:lang w:eastAsia="en-GB"/>
        </w:rPr>
        <w:footnoteReference w:id="7"/>
      </w:r>
      <w:r w:rsidR="00E63A69">
        <w:rPr>
          <w:rFonts w:eastAsia="Times New Roman" w:cstheme="minorHAnsi"/>
          <w:color w:val="000000"/>
          <w:sz w:val="24"/>
          <w:szCs w:val="24"/>
          <w:lang w:eastAsia="en-GB"/>
        </w:rPr>
        <w:t xml:space="preserve">. </w:t>
      </w:r>
      <w:r w:rsidR="002C35C9">
        <w:rPr>
          <w:rFonts w:eastAsia="Times New Roman" w:cstheme="minorHAnsi"/>
          <w:color w:val="000000"/>
          <w:sz w:val="24"/>
          <w:szCs w:val="24"/>
          <w:lang w:eastAsia="en-GB"/>
        </w:rPr>
        <w:t>This suggests that high quality pre-school can narrow the attainment gap between children from well</w:t>
      </w:r>
      <w:r w:rsidR="00AA6283">
        <w:rPr>
          <w:rFonts w:eastAsia="Times New Roman" w:cstheme="minorHAnsi"/>
          <w:color w:val="000000"/>
          <w:sz w:val="24"/>
          <w:szCs w:val="24"/>
          <w:lang w:eastAsia="en-GB"/>
        </w:rPr>
        <w:t>-</w:t>
      </w:r>
      <w:r w:rsidR="002C35C9">
        <w:rPr>
          <w:rFonts w:eastAsia="Times New Roman" w:cstheme="minorHAnsi"/>
          <w:color w:val="000000"/>
          <w:sz w:val="24"/>
          <w:szCs w:val="24"/>
          <w:lang w:eastAsia="en-GB"/>
        </w:rPr>
        <w:t>educated families and those with few qualifications.</w:t>
      </w:r>
      <w:r w:rsidR="00CE63B1">
        <w:rPr>
          <w:rFonts w:eastAsia="Times New Roman" w:cstheme="minorHAnsi"/>
          <w:color w:val="000000"/>
          <w:sz w:val="24"/>
          <w:szCs w:val="24"/>
          <w:lang w:eastAsia="en-GB"/>
        </w:rPr>
        <w:t xml:space="preserve"> </w:t>
      </w:r>
      <w:r w:rsidR="00F770A9">
        <w:rPr>
          <w:rFonts w:eastAsia="Times New Roman" w:cstheme="minorHAnsi"/>
          <w:color w:val="000000"/>
          <w:sz w:val="24"/>
          <w:szCs w:val="24"/>
          <w:lang w:eastAsia="en-GB"/>
        </w:rPr>
        <w:t>There are a number of factors that influence the quality of early years</w:t>
      </w:r>
      <w:r w:rsidR="004F7D6B">
        <w:rPr>
          <w:rFonts w:eastAsia="Times New Roman" w:cstheme="minorHAnsi"/>
          <w:color w:val="000000"/>
          <w:sz w:val="24"/>
          <w:szCs w:val="24"/>
          <w:lang w:eastAsia="en-GB"/>
        </w:rPr>
        <w:t xml:space="preserve"> </w:t>
      </w:r>
      <w:r w:rsidR="00F770A9">
        <w:rPr>
          <w:rFonts w:eastAsia="Times New Roman" w:cstheme="minorHAnsi"/>
          <w:color w:val="000000"/>
          <w:sz w:val="24"/>
          <w:szCs w:val="24"/>
          <w:lang w:eastAsia="en-GB"/>
        </w:rPr>
        <w:t xml:space="preserve">provision. </w:t>
      </w:r>
      <w:r w:rsidR="00A84C96">
        <w:rPr>
          <w:rFonts w:eastAsia="Times New Roman" w:cstheme="minorHAnsi"/>
          <w:color w:val="000000"/>
          <w:sz w:val="24"/>
          <w:szCs w:val="24"/>
          <w:lang w:eastAsia="en-GB"/>
        </w:rPr>
        <w:t>Our research show</w:t>
      </w:r>
      <w:r w:rsidR="004F11D9">
        <w:rPr>
          <w:rFonts w:eastAsia="Times New Roman" w:cstheme="minorHAnsi"/>
          <w:color w:val="000000"/>
          <w:sz w:val="24"/>
          <w:szCs w:val="24"/>
          <w:lang w:eastAsia="en-GB"/>
        </w:rPr>
        <w:t xml:space="preserve">s </w:t>
      </w:r>
      <w:r w:rsidR="00A84C96">
        <w:rPr>
          <w:rFonts w:eastAsia="Times New Roman" w:cstheme="minorHAnsi"/>
          <w:color w:val="000000"/>
          <w:sz w:val="24"/>
          <w:szCs w:val="24"/>
          <w:lang w:eastAsia="en-GB"/>
        </w:rPr>
        <w:t xml:space="preserve">that practitioners who had more experience in early years settings were more likely to report spending longer periods sharing stories with the children in their care and more likely to feel that they had an impact on children’s </w:t>
      </w:r>
      <w:r w:rsidR="00E1449D">
        <w:rPr>
          <w:rFonts w:eastAsia="Times New Roman" w:cstheme="minorHAnsi"/>
          <w:color w:val="000000"/>
          <w:sz w:val="24"/>
          <w:szCs w:val="24"/>
          <w:lang w:eastAsia="en-GB"/>
        </w:rPr>
        <w:t xml:space="preserve">literacy </w:t>
      </w:r>
      <w:r w:rsidR="00A84C96">
        <w:rPr>
          <w:rFonts w:eastAsia="Times New Roman" w:cstheme="minorHAnsi"/>
          <w:color w:val="000000"/>
          <w:sz w:val="24"/>
          <w:szCs w:val="24"/>
          <w:lang w:eastAsia="en-GB"/>
        </w:rPr>
        <w:t>development</w:t>
      </w:r>
      <w:r w:rsidR="00A84C96">
        <w:rPr>
          <w:rStyle w:val="FootnoteReference"/>
          <w:rFonts w:eastAsia="Times New Roman" w:cstheme="minorHAnsi"/>
          <w:color w:val="000000"/>
          <w:sz w:val="24"/>
          <w:szCs w:val="24"/>
          <w:lang w:eastAsia="en-GB"/>
        </w:rPr>
        <w:footnoteReference w:id="8"/>
      </w:r>
      <w:r w:rsidR="00A84C96">
        <w:rPr>
          <w:rFonts w:eastAsia="Times New Roman" w:cstheme="minorHAnsi"/>
          <w:color w:val="000000"/>
          <w:sz w:val="24"/>
          <w:szCs w:val="24"/>
          <w:lang w:eastAsia="en-GB"/>
        </w:rPr>
        <w:t>. Practitioners with a higher level of qualification also felt more skilled and more confident in supporting children’s literacy skills</w:t>
      </w:r>
      <w:r w:rsidR="00A84C96">
        <w:rPr>
          <w:rStyle w:val="FootnoteReference"/>
          <w:rFonts w:eastAsia="Times New Roman" w:cstheme="minorHAnsi"/>
          <w:color w:val="000000"/>
          <w:sz w:val="24"/>
          <w:szCs w:val="24"/>
          <w:lang w:eastAsia="en-GB"/>
        </w:rPr>
        <w:footnoteReference w:id="9"/>
      </w:r>
      <w:r w:rsidR="00A84C96">
        <w:rPr>
          <w:rFonts w:eastAsia="Times New Roman" w:cstheme="minorHAnsi"/>
          <w:color w:val="000000"/>
          <w:sz w:val="24"/>
          <w:szCs w:val="24"/>
          <w:lang w:eastAsia="en-GB"/>
        </w:rPr>
        <w:t xml:space="preserve">. </w:t>
      </w:r>
      <w:r w:rsidR="00F770A9">
        <w:rPr>
          <w:rFonts w:eastAsia="Times New Roman" w:cstheme="minorHAnsi"/>
          <w:color w:val="000000"/>
          <w:sz w:val="24"/>
          <w:szCs w:val="24"/>
          <w:lang w:eastAsia="en-GB"/>
        </w:rPr>
        <w:t>This reflects other research that shows a strong relationship between the level of staff qualifications and the quality of early years education and childcare.</w:t>
      </w:r>
      <w:r w:rsidR="00F770A9">
        <w:rPr>
          <w:rStyle w:val="FootnoteReference"/>
          <w:rFonts w:eastAsia="Times New Roman" w:cstheme="minorHAnsi"/>
          <w:color w:val="000000"/>
          <w:sz w:val="24"/>
          <w:szCs w:val="24"/>
          <w:lang w:eastAsia="en-GB"/>
        </w:rPr>
        <w:footnoteReference w:id="10"/>
      </w:r>
    </w:p>
    <w:p w14:paraId="737D6D8A" w14:textId="77777777" w:rsidR="005339F8" w:rsidRDefault="005339F8" w:rsidP="00C94A88">
      <w:pPr>
        <w:spacing w:after="0" w:line="240" w:lineRule="auto"/>
        <w:rPr>
          <w:rFonts w:eastAsia="Times New Roman" w:cstheme="minorHAnsi"/>
          <w:color w:val="000000"/>
          <w:sz w:val="24"/>
          <w:szCs w:val="24"/>
          <w:lang w:eastAsia="en-GB"/>
        </w:rPr>
      </w:pPr>
    </w:p>
    <w:p w14:paraId="7284DD0D" w14:textId="737DD4A9" w:rsidR="00533504" w:rsidRPr="00F770A9" w:rsidRDefault="00533504" w:rsidP="00C94A88">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Ofsted statistics suggest that within England, the quality of provision in deprived areas is lower than average than in affluent areas. </w:t>
      </w:r>
      <w:r>
        <w:rPr>
          <w:rStyle w:val="FootnoteReference"/>
          <w:rFonts w:eastAsia="Times New Roman" w:cstheme="minorHAnsi"/>
          <w:color w:val="000000"/>
          <w:sz w:val="24"/>
          <w:szCs w:val="24"/>
          <w:lang w:eastAsia="en-GB"/>
        </w:rPr>
        <w:footnoteReference w:id="11"/>
      </w:r>
      <w:r w:rsidR="00557FD9">
        <w:rPr>
          <w:rFonts w:eastAsia="Times New Roman" w:cstheme="minorHAnsi"/>
          <w:color w:val="000000"/>
          <w:sz w:val="24"/>
          <w:szCs w:val="24"/>
          <w:lang w:eastAsia="en-GB"/>
        </w:rPr>
        <w:t xml:space="preserve"> </w:t>
      </w:r>
      <w:r w:rsidR="002F6606">
        <w:rPr>
          <w:rFonts w:eastAsia="Times New Roman" w:cstheme="minorHAnsi"/>
          <w:color w:val="000000"/>
          <w:sz w:val="24"/>
          <w:szCs w:val="24"/>
          <w:lang w:eastAsia="en-GB"/>
        </w:rPr>
        <w:t>We have supported early years practitioners in disadvantaged areas through o</w:t>
      </w:r>
      <w:r w:rsidR="00557FD9">
        <w:rPr>
          <w:rFonts w:eastAsia="Times New Roman" w:cstheme="minorHAnsi"/>
          <w:color w:val="000000"/>
          <w:sz w:val="24"/>
          <w:szCs w:val="24"/>
          <w:lang w:eastAsia="en-GB"/>
        </w:rPr>
        <w:t>ur Helping Early Language and Literacy Outcomes (HELLO) improvement framework</w:t>
      </w:r>
      <w:r w:rsidR="002F6606">
        <w:rPr>
          <w:rFonts w:eastAsia="Times New Roman" w:cstheme="minorHAnsi"/>
          <w:color w:val="000000"/>
          <w:sz w:val="24"/>
          <w:szCs w:val="24"/>
          <w:lang w:eastAsia="en-GB"/>
        </w:rPr>
        <w:t xml:space="preserve"> -</w:t>
      </w:r>
      <w:r w:rsidR="00557FD9">
        <w:rPr>
          <w:rFonts w:eastAsia="Times New Roman" w:cstheme="minorHAnsi"/>
          <w:color w:val="000000"/>
          <w:sz w:val="24"/>
          <w:szCs w:val="24"/>
          <w:lang w:eastAsia="en-GB"/>
        </w:rPr>
        <w:t xml:space="preserve"> a quality improvement tool for early years settings who want to improve their communication, language and literacy provision. </w:t>
      </w:r>
      <w:r w:rsidR="00005431">
        <w:rPr>
          <w:rFonts w:eastAsia="Times New Roman" w:cstheme="minorHAnsi"/>
          <w:color w:val="000000"/>
          <w:sz w:val="24"/>
          <w:szCs w:val="24"/>
          <w:lang w:eastAsia="en-GB"/>
        </w:rPr>
        <w:t>An evaluation of the programme found that practitioners reported significant improvements in several areas, including an increase in confidence, more positive relationships with parents and working with colleagues to improve practices within settings</w:t>
      </w:r>
      <w:r w:rsidR="00005431">
        <w:rPr>
          <w:rStyle w:val="FootnoteReference"/>
          <w:rFonts w:eastAsia="Times New Roman" w:cstheme="minorHAnsi"/>
          <w:color w:val="000000"/>
          <w:sz w:val="24"/>
          <w:szCs w:val="24"/>
          <w:lang w:eastAsia="en-GB"/>
        </w:rPr>
        <w:footnoteReference w:id="12"/>
      </w:r>
      <w:r w:rsidR="00005431">
        <w:rPr>
          <w:rFonts w:eastAsia="Times New Roman" w:cstheme="minorHAnsi"/>
          <w:color w:val="000000"/>
          <w:sz w:val="24"/>
          <w:szCs w:val="24"/>
          <w:lang w:eastAsia="en-GB"/>
        </w:rPr>
        <w:t>.</w:t>
      </w:r>
      <w:r w:rsidR="007A1647">
        <w:rPr>
          <w:rFonts w:eastAsia="Times New Roman" w:cstheme="minorHAnsi"/>
          <w:color w:val="000000"/>
          <w:sz w:val="24"/>
          <w:szCs w:val="24"/>
          <w:lang w:eastAsia="en-GB"/>
        </w:rPr>
        <w:t xml:space="preserve"> </w:t>
      </w:r>
    </w:p>
    <w:p w14:paraId="77E731E2" w14:textId="77777777" w:rsidR="00542F77" w:rsidRPr="00542F77" w:rsidRDefault="00542F77" w:rsidP="00542F77">
      <w:pPr>
        <w:pStyle w:val="ListParagraph"/>
        <w:spacing w:after="0" w:line="240" w:lineRule="auto"/>
        <w:ind w:left="1440"/>
        <w:rPr>
          <w:b/>
          <w:bCs/>
          <w:szCs w:val="24"/>
          <w:lang w:eastAsia="en-GB"/>
        </w:rPr>
      </w:pPr>
    </w:p>
    <w:p w14:paraId="352F5A47" w14:textId="35C11F20" w:rsidR="00542F77" w:rsidRDefault="00542F77" w:rsidP="00542F77">
      <w:pPr>
        <w:pStyle w:val="ListParagraph"/>
        <w:numPr>
          <w:ilvl w:val="0"/>
          <w:numId w:val="5"/>
        </w:numPr>
        <w:spacing w:after="0" w:line="240" w:lineRule="auto"/>
        <w:rPr>
          <w:b/>
          <w:bCs/>
          <w:szCs w:val="24"/>
          <w:lang w:eastAsia="en-GB"/>
        </w:rPr>
      </w:pPr>
      <w:r w:rsidRPr="00542F77">
        <w:rPr>
          <w:b/>
          <w:bCs/>
          <w:szCs w:val="24"/>
          <w:lang w:eastAsia="en-GB"/>
        </w:rPr>
        <w:t xml:space="preserve">The role of place (reflecting regional variations) </w:t>
      </w:r>
    </w:p>
    <w:p w14:paraId="4CD3EFF5" w14:textId="4528F9A6" w:rsidR="00416ADB" w:rsidRDefault="00416ADB" w:rsidP="00416ADB">
      <w:pPr>
        <w:spacing w:after="0" w:line="240" w:lineRule="auto"/>
        <w:rPr>
          <w:b/>
          <w:bCs/>
          <w:szCs w:val="24"/>
          <w:lang w:eastAsia="en-GB"/>
        </w:rPr>
      </w:pPr>
    </w:p>
    <w:p w14:paraId="46D395CC" w14:textId="14DCF114" w:rsidR="009B02BA" w:rsidRDefault="009D173A" w:rsidP="00C81901">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Many areas in England are marked by concentrated poverty and social deprivation</w:t>
      </w:r>
      <w:r>
        <w:rPr>
          <w:rStyle w:val="FootnoteReference"/>
          <w:rFonts w:eastAsia="Times New Roman" w:cstheme="minorHAnsi"/>
          <w:color w:val="000000"/>
          <w:sz w:val="24"/>
          <w:szCs w:val="24"/>
          <w:lang w:eastAsia="en-GB"/>
        </w:rPr>
        <w:footnoteReference w:id="13"/>
      </w:r>
      <w:r>
        <w:rPr>
          <w:rFonts w:eastAsia="Times New Roman" w:cstheme="minorHAnsi"/>
          <w:color w:val="000000"/>
          <w:sz w:val="24"/>
          <w:szCs w:val="24"/>
          <w:lang w:eastAsia="en-GB"/>
        </w:rPr>
        <w:t>.</w:t>
      </w:r>
      <w:r w:rsidR="009B02BA">
        <w:rPr>
          <w:rFonts w:eastAsia="Times New Roman" w:cstheme="minorHAnsi"/>
          <w:color w:val="000000"/>
          <w:sz w:val="24"/>
          <w:szCs w:val="24"/>
          <w:lang w:eastAsia="en-GB"/>
        </w:rPr>
        <w:t xml:space="preserve"> </w:t>
      </w:r>
      <w:r w:rsidR="00F53D94" w:rsidRPr="00F53D94">
        <w:rPr>
          <w:rFonts w:eastAsia="Times New Roman" w:cstheme="minorHAnsi"/>
          <w:color w:val="000000"/>
          <w:sz w:val="24"/>
          <w:szCs w:val="24"/>
          <w:lang w:eastAsia="en-GB"/>
        </w:rPr>
        <w:t>Children’s life chances are shaped significantly by the areas in which they live and grow up</w:t>
      </w:r>
      <w:r w:rsidR="007F031D">
        <w:rPr>
          <w:rFonts w:eastAsia="Times New Roman" w:cstheme="minorHAnsi"/>
          <w:color w:val="000000"/>
          <w:sz w:val="24"/>
          <w:szCs w:val="24"/>
          <w:lang w:eastAsia="en-GB"/>
        </w:rPr>
        <w:t>:</w:t>
      </w:r>
      <w:r w:rsidR="00F53D94">
        <w:rPr>
          <w:rStyle w:val="FootnoteReference"/>
          <w:rFonts w:eastAsia="Times New Roman" w:cstheme="minorHAnsi"/>
          <w:color w:val="000000"/>
          <w:sz w:val="24"/>
          <w:szCs w:val="24"/>
          <w:lang w:eastAsia="en-GB"/>
        </w:rPr>
        <w:footnoteReference w:id="14"/>
      </w:r>
      <w:r w:rsidR="007F031D">
        <w:rPr>
          <w:rFonts w:eastAsia="Times New Roman" w:cstheme="minorHAnsi"/>
          <w:color w:val="000000"/>
          <w:sz w:val="24"/>
          <w:szCs w:val="24"/>
          <w:lang w:eastAsia="en-GB"/>
        </w:rPr>
        <w:t xml:space="preserve"> </w:t>
      </w:r>
      <w:r w:rsidR="008B24A7">
        <w:rPr>
          <w:rFonts w:eastAsia="Times New Roman" w:cstheme="minorHAnsi"/>
          <w:color w:val="000000"/>
          <w:sz w:val="24"/>
          <w:szCs w:val="24"/>
          <w:lang w:eastAsia="en-GB"/>
        </w:rPr>
        <w:t>one</w:t>
      </w:r>
      <w:r w:rsidR="007F031D">
        <w:rPr>
          <w:rFonts w:eastAsia="Times New Roman" w:cstheme="minorHAnsi"/>
          <w:color w:val="000000"/>
          <w:sz w:val="24"/>
          <w:szCs w:val="24"/>
          <w:lang w:eastAsia="en-GB"/>
        </w:rPr>
        <w:t xml:space="preserve"> study</w:t>
      </w:r>
      <w:r w:rsidR="008B24A7">
        <w:rPr>
          <w:rFonts w:eastAsia="Times New Roman" w:cstheme="minorHAnsi"/>
          <w:color w:val="000000"/>
          <w:sz w:val="24"/>
          <w:szCs w:val="24"/>
          <w:lang w:eastAsia="en-GB"/>
        </w:rPr>
        <w:t>, for example,</w:t>
      </w:r>
      <w:r w:rsidR="007F031D">
        <w:rPr>
          <w:rFonts w:eastAsia="Times New Roman" w:cstheme="minorHAnsi"/>
          <w:color w:val="000000"/>
          <w:sz w:val="24"/>
          <w:szCs w:val="24"/>
          <w:lang w:eastAsia="en-GB"/>
        </w:rPr>
        <w:t xml:space="preserve"> found that different neighbourhood characteristics shape children’s educational outcomes over and above the effects of social class</w:t>
      </w:r>
      <w:r w:rsidR="007F031D">
        <w:rPr>
          <w:rStyle w:val="FootnoteReference"/>
          <w:rFonts w:eastAsia="Times New Roman" w:cstheme="minorHAnsi"/>
          <w:color w:val="000000"/>
          <w:sz w:val="24"/>
          <w:szCs w:val="24"/>
          <w:lang w:eastAsia="en-GB"/>
        </w:rPr>
        <w:footnoteReference w:id="15"/>
      </w:r>
      <w:r w:rsidR="007F031D">
        <w:rPr>
          <w:rFonts w:eastAsia="Times New Roman" w:cstheme="minorHAnsi"/>
          <w:color w:val="000000"/>
          <w:sz w:val="24"/>
          <w:szCs w:val="24"/>
          <w:lang w:eastAsia="en-GB"/>
        </w:rPr>
        <w:t xml:space="preserve">. </w:t>
      </w:r>
      <w:r w:rsidR="00F53D94">
        <w:rPr>
          <w:rFonts w:eastAsia="Times New Roman" w:cstheme="minorHAnsi"/>
          <w:color w:val="000000"/>
          <w:sz w:val="24"/>
          <w:szCs w:val="24"/>
          <w:lang w:eastAsia="en-GB"/>
        </w:rPr>
        <w:t xml:space="preserve"> </w:t>
      </w:r>
      <w:r w:rsidR="000E6809">
        <w:rPr>
          <w:rFonts w:eastAsia="Times New Roman" w:cstheme="minorHAnsi"/>
          <w:color w:val="000000"/>
          <w:sz w:val="24"/>
          <w:szCs w:val="24"/>
          <w:lang w:eastAsia="en-GB"/>
        </w:rPr>
        <w:t>T</w:t>
      </w:r>
      <w:r w:rsidR="007021AB" w:rsidRPr="007021AB">
        <w:rPr>
          <w:rFonts w:eastAsia="Times New Roman" w:cstheme="minorHAnsi"/>
          <w:color w:val="000000"/>
          <w:sz w:val="24"/>
          <w:szCs w:val="24"/>
          <w:lang w:eastAsia="en-GB"/>
        </w:rPr>
        <w:t>here is a clear relationship between deprivation and educational attainment</w:t>
      </w:r>
      <w:r w:rsidR="007021AB">
        <w:rPr>
          <w:rStyle w:val="FootnoteReference"/>
          <w:rFonts w:eastAsia="Times New Roman" w:cstheme="minorHAnsi"/>
          <w:color w:val="000000"/>
          <w:sz w:val="24"/>
          <w:szCs w:val="24"/>
          <w:lang w:eastAsia="en-GB"/>
        </w:rPr>
        <w:footnoteReference w:id="16"/>
      </w:r>
      <w:r w:rsidR="00AE4D84">
        <w:rPr>
          <w:rFonts w:eastAsia="Times New Roman" w:cstheme="minorHAnsi"/>
          <w:color w:val="000000"/>
          <w:sz w:val="24"/>
          <w:szCs w:val="24"/>
          <w:lang w:eastAsia="en-GB"/>
        </w:rPr>
        <w:t xml:space="preserve">: </w:t>
      </w:r>
      <w:r w:rsidR="00824B6D">
        <w:rPr>
          <w:rFonts w:eastAsia="Times New Roman" w:cstheme="minorHAnsi"/>
          <w:color w:val="000000"/>
          <w:sz w:val="24"/>
          <w:szCs w:val="24"/>
          <w:lang w:eastAsia="en-GB"/>
        </w:rPr>
        <w:t xml:space="preserve">for </w:t>
      </w:r>
      <w:r w:rsidR="00714DE0">
        <w:rPr>
          <w:rFonts w:eastAsia="Times New Roman" w:cstheme="minorHAnsi"/>
          <w:color w:val="000000"/>
          <w:sz w:val="24"/>
          <w:szCs w:val="24"/>
          <w:lang w:eastAsia="en-GB"/>
        </w:rPr>
        <w:t>example, the concentration of poverty in the neighbourhood decreases a child’s readiness for school</w:t>
      </w:r>
      <w:r w:rsidR="00714DE0">
        <w:rPr>
          <w:rStyle w:val="FootnoteReference"/>
          <w:rFonts w:eastAsia="Times New Roman" w:cstheme="minorHAnsi"/>
          <w:color w:val="000000"/>
          <w:sz w:val="24"/>
          <w:szCs w:val="24"/>
          <w:lang w:eastAsia="en-GB"/>
        </w:rPr>
        <w:footnoteReference w:id="17"/>
      </w:r>
      <w:r w:rsidR="00714DE0">
        <w:rPr>
          <w:rFonts w:eastAsia="Times New Roman" w:cstheme="minorHAnsi"/>
          <w:color w:val="000000"/>
          <w:sz w:val="24"/>
          <w:szCs w:val="24"/>
          <w:lang w:eastAsia="en-GB"/>
        </w:rPr>
        <w:t>.</w:t>
      </w:r>
      <w:r w:rsidR="00904C30">
        <w:rPr>
          <w:rFonts w:eastAsia="Times New Roman" w:cstheme="minorHAnsi"/>
          <w:color w:val="000000"/>
          <w:sz w:val="24"/>
          <w:szCs w:val="24"/>
          <w:lang w:eastAsia="en-GB"/>
        </w:rPr>
        <w:t xml:space="preserve">From poor transport links in coastal communities, to overcrowded living conditions in major cities, there are many factors that can impact on attainment. </w:t>
      </w:r>
      <w:r w:rsidR="009D4C78">
        <w:rPr>
          <w:rFonts w:eastAsia="Times New Roman" w:cstheme="minorHAnsi"/>
          <w:color w:val="000000"/>
          <w:sz w:val="24"/>
          <w:szCs w:val="24"/>
          <w:lang w:eastAsia="en-GB"/>
        </w:rPr>
        <w:t>E</w:t>
      </w:r>
      <w:r w:rsidR="003F1E0C" w:rsidRPr="00831B1C">
        <w:rPr>
          <w:rFonts w:eastAsia="Times New Roman" w:cstheme="minorHAnsi"/>
          <w:color w:val="000000"/>
          <w:sz w:val="24"/>
          <w:szCs w:val="24"/>
          <w:lang w:eastAsia="en-GB"/>
        </w:rPr>
        <w:t xml:space="preserve">vidence also shows </w:t>
      </w:r>
      <w:r w:rsidR="003F1E0C" w:rsidRPr="00831B1C">
        <w:rPr>
          <w:rFonts w:eastAsia="Times New Roman" w:cstheme="minorHAnsi"/>
          <w:color w:val="000000"/>
          <w:sz w:val="24"/>
          <w:szCs w:val="24"/>
          <w:lang w:eastAsia="en-GB"/>
        </w:rPr>
        <w:lastRenderedPageBreak/>
        <w:t>that greater levels of neighbourhood socioeconomic disadvantage are associated with increased social, emotional and behavioural problems in children</w:t>
      </w:r>
      <w:r w:rsidR="003F1E0C">
        <w:rPr>
          <w:rStyle w:val="FootnoteReference"/>
          <w:rFonts w:eastAsia="Times New Roman" w:cstheme="minorHAnsi"/>
          <w:color w:val="000000"/>
          <w:sz w:val="24"/>
          <w:szCs w:val="24"/>
          <w:lang w:eastAsia="en-GB"/>
        </w:rPr>
        <w:footnoteReference w:id="18"/>
      </w:r>
      <w:r w:rsidR="00761EE1">
        <w:rPr>
          <w:rFonts w:eastAsia="Times New Roman" w:cstheme="minorHAnsi"/>
          <w:color w:val="000000"/>
          <w:sz w:val="24"/>
          <w:szCs w:val="24"/>
          <w:lang w:eastAsia="en-GB"/>
        </w:rPr>
        <w:t>.</w:t>
      </w:r>
    </w:p>
    <w:p w14:paraId="3BC65610" w14:textId="77777777" w:rsidR="00496D03" w:rsidRDefault="00496D03" w:rsidP="00C81901">
      <w:pPr>
        <w:spacing w:after="0" w:line="240" w:lineRule="auto"/>
        <w:rPr>
          <w:rFonts w:eastAsia="Times New Roman" w:cstheme="minorHAnsi"/>
          <w:color w:val="000000"/>
          <w:sz w:val="24"/>
          <w:szCs w:val="24"/>
          <w:lang w:eastAsia="en-GB"/>
        </w:rPr>
      </w:pPr>
    </w:p>
    <w:p w14:paraId="528C23AB" w14:textId="2020EE7C" w:rsidR="00542F77" w:rsidRDefault="00BE75B2" w:rsidP="00542F77">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It is the</w:t>
      </w:r>
      <w:r w:rsidR="00BA0109" w:rsidRPr="00C72BC5">
        <w:rPr>
          <w:rFonts w:eastAsia="Times New Roman" w:cstheme="minorHAnsi"/>
          <w:color w:val="000000"/>
          <w:sz w:val="24"/>
          <w:szCs w:val="24"/>
          <w:lang w:eastAsia="en-GB"/>
        </w:rPr>
        <w:t xml:space="preserve"> </w:t>
      </w:r>
      <w:r w:rsidRPr="00C72BC5">
        <w:rPr>
          <w:rFonts w:eastAsia="Times New Roman" w:cstheme="minorHAnsi"/>
          <w:color w:val="000000"/>
          <w:sz w:val="24"/>
          <w:szCs w:val="24"/>
          <w:lang w:eastAsia="en-GB"/>
        </w:rPr>
        <w:t>economically disadvantaged</w:t>
      </w:r>
      <w:r>
        <w:rPr>
          <w:rFonts w:eastAsia="Times New Roman" w:cstheme="minorHAnsi"/>
          <w:color w:val="000000"/>
          <w:sz w:val="24"/>
          <w:szCs w:val="24"/>
          <w:lang w:eastAsia="en-GB"/>
        </w:rPr>
        <w:t xml:space="preserve"> </w:t>
      </w:r>
      <w:r w:rsidR="00BA0109" w:rsidRPr="00C72BC5">
        <w:rPr>
          <w:rFonts w:eastAsia="Times New Roman" w:cstheme="minorHAnsi"/>
          <w:color w:val="000000"/>
          <w:sz w:val="24"/>
          <w:szCs w:val="24"/>
          <w:lang w:eastAsia="en-GB"/>
        </w:rPr>
        <w:t>areas in England w</w:t>
      </w:r>
      <w:r>
        <w:rPr>
          <w:rFonts w:eastAsia="Times New Roman" w:cstheme="minorHAnsi"/>
          <w:color w:val="000000"/>
          <w:sz w:val="24"/>
          <w:szCs w:val="24"/>
          <w:lang w:eastAsia="en-GB"/>
        </w:rPr>
        <w:t xml:space="preserve">hich have </w:t>
      </w:r>
      <w:r w:rsidR="00BA0109" w:rsidRPr="00C72BC5">
        <w:rPr>
          <w:rFonts w:eastAsia="Times New Roman" w:cstheme="minorHAnsi"/>
          <w:color w:val="000000"/>
          <w:sz w:val="24"/>
          <w:szCs w:val="24"/>
          <w:lang w:eastAsia="en-GB"/>
        </w:rPr>
        <w:t>the lowest literacy</w:t>
      </w:r>
      <w:r w:rsidR="001210B7">
        <w:rPr>
          <w:rFonts w:eastAsia="Times New Roman" w:cstheme="minorHAnsi"/>
          <w:color w:val="000000"/>
          <w:sz w:val="24"/>
          <w:szCs w:val="24"/>
          <w:lang w:eastAsia="en-GB"/>
        </w:rPr>
        <w:t xml:space="preserve">. </w:t>
      </w:r>
      <w:r w:rsidR="00EF6524">
        <w:rPr>
          <w:rFonts w:eastAsia="Times New Roman" w:cstheme="minorHAnsi"/>
          <w:color w:val="000000"/>
          <w:sz w:val="24"/>
          <w:szCs w:val="24"/>
          <w:lang w:eastAsia="en-GB"/>
        </w:rPr>
        <w:t>For example, Middlesbrough and Liverpool are among the areas with the greatest literacy need</w:t>
      </w:r>
      <w:r w:rsidR="00A370B2">
        <w:rPr>
          <w:rStyle w:val="FootnoteReference"/>
          <w:rFonts w:eastAsia="Times New Roman" w:cstheme="minorHAnsi"/>
          <w:color w:val="000000"/>
          <w:sz w:val="24"/>
          <w:szCs w:val="24"/>
          <w:lang w:eastAsia="en-GB"/>
        </w:rPr>
        <w:footnoteReference w:id="19"/>
      </w:r>
      <w:r w:rsidR="00EF6524">
        <w:rPr>
          <w:rFonts w:eastAsia="Times New Roman" w:cstheme="minorHAnsi"/>
          <w:color w:val="000000"/>
          <w:sz w:val="24"/>
          <w:szCs w:val="24"/>
          <w:lang w:eastAsia="en-GB"/>
        </w:rPr>
        <w:t xml:space="preserve">, and both are ranked as </w:t>
      </w:r>
      <w:r w:rsidR="00FF4D25">
        <w:rPr>
          <w:rFonts w:eastAsia="Times New Roman" w:cstheme="minorHAnsi"/>
          <w:color w:val="000000"/>
          <w:sz w:val="24"/>
          <w:szCs w:val="24"/>
          <w:lang w:eastAsia="en-GB"/>
        </w:rPr>
        <w:t>some</w:t>
      </w:r>
      <w:r w:rsidR="00EF6524">
        <w:rPr>
          <w:rFonts w:eastAsia="Times New Roman" w:cstheme="minorHAnsi"/>
          <w:color w:val="000000"/>
          <w:sz w:val="24"/>
          <w:szCs w:val="24"/>
          <w:lang w:eastAsia="en-GB"/>
        </w:rPr>
        <w:t xml:space="preserve"> of the most disadvantaged areas in the country</w:t>
      </w:r>
      <w:r w:rsidR="00EF6524">
        <w:rPr>
          <w:rStyle w:val="FootnoteReference"/>
          <w:rFonts w:eastAsia="Times New Roman" w:cstheme="minorHAnsi"/>
          <w:color w:val="000000"/>
          <w:sz w:val="24"/>
          <w:szCs w:val="24"/>
          <w:lang w:eastAsia="en-GB"/>
        </w:rPr>
        <w:footnoteReference w:id="20"/>
      </w:r>
      <w:r w:rsidR="00EF6524">
        <w:rPr>
          <w:rFonts w:eastAsia="Times New Roman" w:cstheme="minorHAnsi"/>
          <w:color w:val="000000"/>
          <w:sz w:val="24"/>
          <w:szCs w:val="24"/>
          <w:lang w:eastAsia="en-GB"/>
        </w:rPr>
        <w:t xml:space="preserve">. </w:t>
      </w:r>
      <w:r w:rsidR="007624D5">
        <w:rPr>
          <w:rFonts w:eastAsia="Times New Roman" w:cstheme="minorHAnsi"/>
          <w:color w:val="000000"/>
          <w:sz w:val="24"/>
          <w:szCs w:val="24"/>
          <w:lang w:eastAsia="en-GB"/>
        </w:rPr>
        <w:t>Our research shows that i</w:t>
      </w:r>
      <w:r w:rsidR="009B02BA">
        <w:rPr>
          <w:rFonts w:eastAsia="Times New Roman" w:cstheme="minorHAnsi"/>
          <w:color w:val="000000"/>
          <w:sz w:val="24"/>
          <w:szCs w:val="24"/>
          <w:lang w:eastAsia="en-GB"/>
        </w:rPr>
        <w:t>n the country’s most deprived areas, more than a third of adults lack the literacy expected of an 11 year-old</w:t>
      </w:r>
      <w:r w:rsidR="005932A5">
        <w:rPr>
          <w:rStyle w:val="FootnoteReference"/>
          <w:rFonts w:eastAsia="Times New Roman" w:cstheme="minorHAnsi"/>
          <w:color w:val="000000"/>
          <w:sz w:val="24"/>
          <w:szCs w:val="24"/>
          <w:lang w:eastAsia="en-GB"/>
        </w:rPr>
        <w:footnoteReference w:id="21"/>
      </w:r>
      <w:r w:rsidR="009B02BA">
        <w:rPr>
          <w:rFonts w:eastAsia="Times New Roman" w:cstheme="minorHAnsi"/>
          <w:color w:val="000000"/>
          <w:sz w:val="24"/>
          <w:szCs w:val="24"/>
          <w:lang w:eastAsia="en-GB"/>
        </w:rPr>
        <w:t>. Parents with low literacy skills lack the confidence to support their child’s learning</w:t>
      </w:r>
      <w:r w:rsidR="00F70F9C">
        <w:rPr>
          <w:rFonts w:eastAsia="Times New Roman" w:cstheme="minorHAnsi"/>
          <w:color w:val="000000"/>
          <w:sz w:val="24"/>
          <w:szCs w:val="24"/>
          <w:lang w:eastAsia="en-GB"/>
        </w:rPr>
        <w:t>, which can lead to an intergenerational cycle of poor literacy</w:t>
      </w:r>
      <w:r w:rsidR="0092335E">
        <w:rPr>
          <w:rFonts w:eastAsia="Times New Roman" w:cstheme="minorHAnsi"/>
          <w:color w:val="000000"/>
          <w:sz w:val="24"/>
          <w:szCs w:val="24"/>
          <w:lang w:eastAsia="en-GB"/>
        </w:rPr>
        <w:t xml:space="preserve"> in these areas</w:t>
      </w:r>
      <w:r w:rsidR="009B02BA">
        <w:rPr>
          <w:rFonts w:eastAsia="Times New Roman" w:cstheme="minorHAnsi"/>
          <w:color w:val="000000"/>
          <w:sz w:val="24"/>
          <w:szCs w:val="24"/>
          <w:lang w:eastAsia="en-GB"/>
        </w:rPr>
        <w:t xml:space="preserve">. </w:t>
      </w:r>
      <w:r w:rsidR="001F12D1">
        <w:rPr>
          <w:rFonts w:eastAsia="Times New Roman" w:cstheme="minorHAnsi"/>
          <w:color w:val="000000"/>
          <w:sz w:val="24"/>
          <w:szCs w:val="24"/>
          <w:lang w:eastAsia="en-GB"/>
        </w:rPr>
        <w:t>Moreover, o</w:t>
      </w:r>
      <w:r w:rsidR="007624D5">
        <w:rPr>
          <w:rFonts w:eastAsia="Times New Roman" w:cstheme="minorHAnsi"/>
          <w:color w:val="000000"/>
          <w:sz w:val="24"/>
          <w:szCs w:val="24"/>
          <w:lang w:eastAsia="en-GB"/>
        </w:rPr>
        <w:t>ur analysis shows that people living in areas of England with the most serious literacy challenges are more likely to have shorter life expectancies than those living in communities with the fewest literacy challenges</w:t>
      </w:r>
      <w:r w:rsidR="007624D5">
        <w:rPr>
          <w:rStyle w:val="FootnoteReference"/>
          <w:rFonts w:eastAsia="Times New Roman" w:cstheme="minorHAnsi"/>
          <w:color w:val="000000"/>
          <w:sz w:val="24"/>
          <w:szCs w:val="24"/>
          <w:lang w:eastAsia="en-GB"/>
        </w:rPr>
        <w:footnoteReference w:id="22"/>
      </w:r>
      <w:r w:rsidR="007624D5">
        <w:rPr>
          <w:rFonts w:eastAsia="Times New Roman" w:cstheme="minorHAnsi"/>
          <w:color w:val="000000"/>
          <w:sz w:val="24"/>
          <w:szCs w:val="24"/>
          <w:lang w:eastAsia="en-GB"/>
        </w:rPr>
        <w:t xml:space="preserve">. </w:t>
      </w:r>
    </w:p>
    <w:p w14:paraId="0B9D9A6B" w14:textId="77777777" w:rsidR="007624D5" w:rsidRPr="0092335E" w:rsidRDefault="007624D5" w:rsidP="00542F77">
      <w:pPr>
        <w:spacing w:after="0" w:line="240" w:lineRule="auto"/>
        <w:rPr>
          <w:rFonts w:eastAsia="Times New Roman" w:cstheme="minorHAnsi"/>
          <w:color w:val="000000"/>
          <w:sz w:val="24"/>
          <w:szCs w:val="24"/>
          <w:lang w:eastAsia="en-GB"/>
        </w:rPr>
      </w:pPr>
    </w:p>
    <w:p w14:paraId="74A71A93" w14:textId="1596C774" w:rsidR="00542F77" w:rsidRDefault="00542F77" w:rsidP="00542F77">
      <w:pPr>
        <w:pStyle w:val="ListParagraph"/>
        <w:numPr>
          <w:ilvl w:val="0"/>
          <w:numId w:val="5"/>
        </w:numPr>
        <w:spacing w:after="0" w:line="240" w:lineRule="auto"/>
        <w:rPr>
          <w:b/>
          <w:bCs/>
          <w:szCs w:val="24"/>
          <w:lang w:eastAsia="en-GB"/>
        </w:rPr>
      </w:pPr>
      <w:r w:rsidRPr="00542F77">
        <w:rPr>
          <w:b/>
          <w:bCs/>
          <w:szCs w:val="24"/>
          <w:lang w:eastAsia="en-GB"/>
        </w:rPr>
        <w:t xml:space="preserve">The home learning environment </w:t>
      </w:r>
    </w:p>
    <w:p w14:paraId="546E6CD4" w14:textId="11C50BFA" w:rsidR="00A35002" w:rsidRDefault="00A35002" w:rsidP="00A35002">
      <w:pPr>
        <w:spacing w:after="0" w:line="240" w:lineRule="auto"/>
        <w:rPr>
          <w:b/>
          <w:bCs/>
          <w:szCs w:val="24"/>
          <w:lang w:eastAsia="en-GB"/>
        </w:rPr>
      </w:pPr>
    </w:p>
    <w:p w14:paraId="133D9243" w14:textId="3B931937" w:rsidR="003C25B7" w:rsidRDefault="00042498" w:rsidP="00E770D0">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w:t>
      </w:r>
      <w:r w:rsidR="00A35002" w:rsidRPr="00A35002">
        <w:rPr>
          <w:rFonts w:eastAsia="Times New Roman" w:cstheme="minorHAnsi"/>
          <w:color w:val="000000"/>
          <w:sz w:val="24"/>
          <w:szCs w:val="24"/>
          <w:lang w:eastAsia="en-GB"/>
        </w:rPr>
        <w:t>he quality of the home learning environment is a key predictor of a child’s future success</w:t>
      </w:r>
      <w:r w:rsidR="009D3A31">
        <w:rPr>
          <w:rFonts w:eastAsia="Times New Roman" w:cstheme="minorHAnsi"/>
          <w:color w:val="000000"/>
          <w:sz w:val="24"/>
          <w:szCs w:val="24"/>
          <w:lang w:eastAsia="en-GB"/>
        </w:rPr>
        <w:t xml:space="preserve">. </w:t>
      </w:r>
      <w:r w:rsidR="00EB45C6">
        <w:rPr>
          <w:rFonts w:eastAsia="Times New Roman" w:cstheme="minorHAnsi"/>
          <w:color w:val="000000"/>
          <w:sz w:val="24"/>
          <w:szCs w:val="24"/>
          <w:lang w:eastAsia="en-GB"/>
        </w:rPr>
        <w:t xml:space="preserve">As well as being a good predictor of early vocabulary and phonological awareness, </w:t>
      </w:r>
      <w:r w:rsidR="00141249">
        <w:rPr>
          <w:rFonts w:eastAsia="Times New Roman" w:cstheme="minorHAnsi"/>
          <w:color w:val="000000"/>
          <w:sz w:val="24"/>
          <w:szCs w:val="24"/>
          <w:lang w:eastAsia="en-GB"/>
        </w:rPr>
        <w:t xml:space="preserve">the home learning environment </w:t>
      </w:r>
      <w:r w:rsidR="00EB45C6">
        <w:rPr>
          <w:rFonts w:eastAsia="Times New Roman" w:cstheme="minorHAnsi"/>
          <w:color w:val="000000"/>
          <w:sz w:val="24"/>
          <w:szCs w:val="24"/>
          <w:lang w:eastAsia="en-GB"/>
        </w:rPr>
        <w:t>can directly influence phonological awareness at the beginning of primary school</w:t>
      </w:r>
      <w:r w:rsidR="00EB45C6">
        <w:rPr>
          <w:rStyle w:val="FootnoteReference"/>
          <w:rFonts w:eastAsia="Times New Roman" w:cstheme="minorHAnsi"/>
          <w:color w:val="000000"/>
          <w:sz w:val="24"/>
          <w:szCs w:val="24"/>
          <w:lang w:eastAsia="en-GB"/>
        </w:rPr>
        <w:footnoteReference w:id="23"/>
      </w:r>
      <w:r w:rsidR="00A45719">
        <w:rPr>
          <w:rFonts w:eastAsia="Times New Roman" w:cstheme="minorHAnsi"/>
          <w:color w:val="000000"/>
          <w:sz w:val="24"/>
          <w:szCs w:val="24"/>
          <w:lang w:eastAsia="en-GB"/>
        </w:rPr>
        <w:t xml:space="preserve">, </w:t>
      </w:r>
      <w:r w:rsidR="002F3A12">
        <w:rPr>
          <w:rFonts w:eastAsia="Times New Roman" w:cstheme="minorHAnsi"/>
          <w:color w:val="000000"/>
          <w:sz w:val="24"/>
          <w:szCs w:val="24"/>
          <w:lang w:eastAsia="en-GB"/>
        </w:rPr>
        <w:t xml:space="preserve">and </w:t>
      </w:r>
      <w:r w:rsidR="00A45719">
        <w:rPr>
          <w:rFonts w:eastAsia="Times New Roman" w:cstheme="minorHAnsi"/>
          <w:color w:val="000000"/>
          <w:sz w:val="24"/>
          <w:szCs w:val="24"/>
          <w:lang w:eastAsia="en-GB"/>
        </w:rPr>
        <w:t>lead to increased</w:t>
      </w:r>
      <w:r w:rsidR="001A0B0F">
        <w:rPr>
          <w:rFonts w:eastAsia="Times New Roman" w:cstheme="minorHAnsi"/>
          <w:color w:val="000000"/>
          <w:sz w:val="24"/>
          <w:szCs w:val="24"/>
          <w:lang w:eastAsia="en-GB"/>
        </w:rPr>
        <w:t xml:space="preserve"> reading fluency</w:t>
      </w:r>
      <w:r w:rsidR="001A0B0F">
        <w:rPr>
          <w:rStyle w:val="FootnoteReference"/>
          <w:rFonts w:eastAsia="Times New Roman" w:cstheme="minorHAnsi"/>
          <w:color w:val="000000"/>
          <w:sz w:val="24"/>
          <w:szCs w:val="24"/>
          <w:lang w:eastAsia="en-GB"/>
        </w:rPr>
        <w:footnoteReference w:id="24"/>
      </w:r>
      <w:r w:rsidR="001A0B0F">
        <w:rPr>
          <w:rFonts w:eastAsia="Times New Roman" w:cstheme="minorHAnsi"/>
          <w:color w:val="000000"/>
          <w:sz w:val="24"/>
          <w:szCs w:val="24"/>
          <w:lang w:eastAsia="en-GB"/>
        </w:rPr>
        <w:t>,</w:t>
      </w:r>
      <w:r w:rsidR="00A45719">
        <w:rPr>
          <w:rFonts w:eastAsia="Times New Roman" w:cstheme="minorHAnsi"/>
          <w:color w:val="000000"/>
          <w:sz w:val="24"/>
          <w:szCs w:val="24"/>
          <w:lang w:eastAsia="en-GB"/>
        </w:rPr>
        <w:t xml:space="preserve"> literacy competence and social functioning</w:t>
      </w:r>
      <w:r w:rsidR="00BA2804">
        <w:rPr>
          <w:rStyle w:val="FootnoteReference"/>
          <w:rFonts w:eastAsia="Times New Roman" w:cstheme="minorHAnsi"/>
          <w:color w:val="000000"/>
          <w:sz w:val="24"/>
          <w:szCs w:val="24"/>
          <w:lang w:eastAsia="en-GB"/>
        </w:rPr>
        <w:footnoteReference w:id="25"/>
      </w:r>
      <w:r w:rsidR="002F3A12">
        <w:rPr>
          <w:rFonts w:eastAsia="Times New Roman" w:cstheme="minorHAnsi"/>
          <w:color w:val="000000"/>
          <w:sz w:val="24"/>
          <w:szCs w:val="24"/>
          <w:lang w:eastAsia="en-GB"/>
        </w:rPr>
        <w:t xml:space="preserve">. </w:t>
      </w:r>
      <w:r w:rsidR="00CC0A50">
        <w:rPr>
          <w:rFonts w:eastAsia="Times New Roman" w:cstheme="minorHAnsi"/>
          <w:color w:val="000000"/>
          <w:sz w:val="24"/>
          <w:szCs w:val="24"/>
          <w:lang w:eastAsia="en-GB"/>
        </w:rPr>
        <w:t>H</w:t>
      </w:r>
      <w:r w:rsidR="004078F9">
        <w:rPr>
          <w:rFonts w:eastAsia="Times New Roman" w:cstheme="minorHAnsi"/>
          <w:color w:val="000000"/>
          <w:sz w:val="24"/>
          <w:szCs w:val="24"/>
          <w:lang w:eastAsia="en-GB"/>
        </w:rPr>
        <w:t>ome learning activities such as counting or doing simple sums with children or playing games with numbers have been found to predict better numeracy ability and attitudes</w:t>
      </w:r>
      <w:r w:rsidR="00141249">
        <w:rPr>
          <w:rStyle w:val="FootnoteReference"/>
          <w:rFonts w:eastAsia="Times New Roman" w:cstheme="minorHAnsi"/>
          <w:color w:val="000000"/>
          <w:sz w:val="24"/>
          <w:szCs w:val="24"/>
          <w:lang w:eastAsia="en-GB"/>
        </w:rPr>
        <w:footnoteReference w:id="26"/>
      </w:r>
      <w:r w:rsidR="004F5D1C">
        <w:rPr>
          <w:rFonts w:eastAsia="Times New Roman" w:cstheme="minorHAnsi"/>
          <w:color w:val="000000"/>
          <w:sz w:val="24"/>
          <w:szCs w:val="24"/>
          <w:lang w:eastAsia="en-GB"/>
        </w:rPr>
        <w:t xml:space="preserve">, while children who have good language skills at the age of five are 6 times more likely to reach the expected standard in </w:t>
      </w:r>
      <w:r w:rsidR="004E5529">
        <w:rPr>
          <w:rFonts w:eastAsia="Times New Roman" w:cstheme="minorHAnsi"/>
          <w:color w:val="000000"/>
          <w:sz w:val="24"/>
          <w:szCs w:val="24"/>
          <w:lang w:eastAsia="en-GB"/>
        </w:rPr>
        <w:t>E</w:t>
      </w:r>
      <w:r w:rsidR="004F5D1C">
        <w:rPr>
          <w:rFonts w:eastAsia="Times New Roman" w:cstheme="minorHAnsi"/>
          <w:color w:val="000000"/>
          <w:sz w:val="24"/>
          <w:szCs w:val="24"/>
          <w:lang w:eastAsia="en-GB"/>
        </w:rPr>
        <w:t>nglish at age 11</w:t>
      </w:r>
      <w:r w:rsidR="004F5D1C">
        <w:rPr>
          <w:rStyle w:val="FootnoteReference"/>
          <w:rFonts w:eastAsia="Times New Roman" w:cstheme="minorHAnsi"/>
          <w:color w:val="000000"/>
          <w:sz w:val="24"/>
          <w:szCs w:val="24"/>
          <w:lang w:eastAsia="en-GB"/>
        </w:rPr>
        <w:footnoteReference w:id="27"/>
      </w:r>
      <w:r w:rsidR="00141249">
        <w:rPr>
          <w:rFonts w:eastAsia="Times New Roman" w:cstheme="minorHAnsi"/>
          <w:color w:val="000000"/>
          <w:sz w:val="24"/>
          <w:szCs w:val="24"/>
          <w:lang w:eastAsia="en-GB"/>
        </w:rPr>
        <w:t>.</w:t>
      </w:r>
      <w:r w:rsidR="00141249" w:rsidRPr="00141249">
        <w:rPr>
          <w:sz w:val="24"/>
          <w:szCs w:val="24"/>
        </w:rPr>
        <w:t xml:space="preserve"> </w:t>
      </w:r>
      <w:r w:rsidR="001C0136">
        <w:rPr>
          <w:sz w:val="24"/>
          <w:szCs w:val="24"/>
        </w:rPr>
        <w:t>T</w:t>
      </w:r>
      <w:r w:rsidR="00141249">
        <w:rPr>
          <w:sz w:val="24"/>
          <w:szCs w:val="24"/>
        </w:rPr>
        <w:t xml:space="preserve">he benefits of a good home learning environment can continue until </w:t>
      </w:r>
      <w:r w:rsidR="004F5D1C">
        <w:rPr>
          <w:sz w:val="24"/>
          <w:szCs w:val="24"/>
        </w:rPr>
        <w:t>much later in life: children with poor vocabulary at age 5</w:t>
      </w:r>
      <w:r w:rsidR="00141249">
        <w:rPr>
          <w:rFonts w:eastAsia="Times New Roman" w:cstheme="minorHAnsi"/>
          <w:color w:val="000000"/>
          <w:sz w:val="24"/>
          <w:szCs w:val="24"/>
          <w:lang w:eastAsia="en-GB"/>
        </w:rPr>
        <w:t xml:space="preserve"> </w:t>
      </w:r>
      <w:r w:rsidR="004F5D1C">
        <w:rPr>
          <w:rFonts w:eastAsia="Times New Roman" w:cstheme="minorHAnsi"/>
          <w:color w:val="000000"/>
          <w:sz w:val="24"/>
          <w:szCs w:val="24"/>
          <w:lang w:eastAsia="en-GB"/>
        </w:rPr>
        <w:t>are more than twice as likely to be unemployed at the age of 34</w:t>
      </w:r>
      <w:r w:rsidR="004F5D1C">
        <w:rPr>
          <w:rStyle w:val="FootnoteReference"/>
          <w:rFonts w:eastAsia="Times New Roman" w:cstheme="minorHAnsi"/>
          <w:color w:val="000000"/>
          <w:sz w:val="24"/>
          <w:szCs w:val="24"/>
          <w:lang w:eastAsia="en-GB"/>
        </w:rPr>
        <w:footnoteReference w:id="28"/>
      </w:r>
      <w:r w:rsidR="00F04E67">
        <w:rPr>
          <w:rFonts w:eastAsia="Times New Roman" w:cstheme="minorHAnsi"/>
          <w:color w:val="000000"/>
          <w:sz w:val="24"/>
          <w:szCs w:val="24"/>
          <w:lang w:eastAsia="en-GB"/>
        </w:rPr>
        <w:t>.</w:t>
      </w:r>
      <w:r w:rsidR="00141249" w:rsidRPr="00A35002">
        <w:rPr>
          <w:rFonts w:eastAsia="Times New Roman" w:cstheme="minorHAnsi"/>
          <w:color w:val="000000"/>
          <w:sz w:val="24"/>
          <w:szCs w:val="24"/>
          <w:lang w:eastAsia="en-GB"/>
        </w:rPr>
        <w:t xml:space="preserve"> </w:t>
      </w:r>
    </w:p>
    <w:p w14:paraId="518A23FE" w14:textId="77777777" w:rsidR="003C25B7" w:rsidRDefault="003C25B7" w:rsidP="00E770D0">
      <w:pPr>
        <w:spacing w:after="0" w:line="240" w:lineRule="auto"/>
        <w:rPr>
          <w:rFonts w:eastAsia="Times New Roman" w:cstheme="minorHAnsi"/>
          <w:color w:val="000000"/>
          <w:sz w:val="24"/>
          <w:szCs w:val="24"/>
          <w:lang w:eastAsia="en-GB"/>
        </w:rPr>
      </w:pPr>
    </w:p>
    <w:p w14:paraId="5CE33ADB" w14:textId="3BCC9BE5" w:rsidR="00E770D0" w:rsidRDefault="009D3A31" w:rsidP="00E770D0">
      <w:pPr>
        <w:spacing w:after="0" w:line="240" w:lineRule="auto"/>
        <w:rPr>
          <w:sz w:val="24"/>
          <w:szCs w:val="24"/>
        </w:rPr>
      </w:pPr>
      <w:r>
        <w:rPr>
          <w:rFonts w:eastAsia="Times New Roman" w:cstheme="minorHAnsi"/>
          <w:color w:val="000000"/>
          <w:sz w:val="24"/>
          <w:szCs w:val="24"/>
          <w:lang w:eastAsia="en-GB"/>
        </w:rPr>
        <w:t>The home learning environment</w:t>
      </w:r>
      <w:r w:rsidR="00A35002" w:rsidRPr="00A35002">
        <w:rPr>
          <w:rFonts w:eastAsia="Times New Roman" w:cstheme="minorHAnsi"/>
          <w:color w:val="000000"/>
          <w:sz w:val="24"/>
          <w:szCs w:val="24"/>
          <w:lang w:eastAsia="en-GB"/>
        </w:rPr>
        <w:t xml:space="preserve"> is as important to a child’s intellectual and cognitive development as parental factors such as occupation and education</w:t>
      </w:r>
      <w:r w:rsidR="000E3DFE">
        <w:rPr>
          <w:rStyle w:val="FootnoteReference"/>
          <w:rFonts w:eastAsia="Times New Roman" w:cstheme="minorHAnsi"/>
          <w:color w:val="000000"/>
          <w:sz w:val="24"/>
          <w:szCs w:val="24"/>
          <w:lang w:eastAsia="en-GB"/>
        </w:rPr>
        <w:footnoteReference w:id="29"/>
      </w:r>
      <w:r w:rsidR="002053C7">
        <w:rPr>
          <w:rFonts w:eastAsia="Times New Roman" w:cstheme="minorHAnsi"/>
          <w:color w:val="000000"/>
          <w:sz w:val="24"/>
          <w:szCs w:val="24"/>
          <w:lang w:eastAsia="en-GB"/>
        </w:rPr>
        <w:t>, suggesting that what parents do with their child is just as important as who they are</w:t>
      </w:r>
      <w:r w:rsidR="00F82044">
        <w:rPr>
          <w:rFonts w:eastAsia="Times New Roman" w:cstheme="minorHAnsi"/>
          <w:color w:val="000000"/>
          <w:sz w:val="24"/>
          <w:szCs w:val="24"/>
          <w:lang w:eastAsia="en-GB"/>
        </w:rPr>
        <w:t>, and that the home learning environment can moderate the effects of disadvantage</w:t>
      </w:r>
      <w:r w:rsidR="009D3DD1">
        <w:rPr>
          <w:rFonts w:eastAsia="Times New Roman" w:cstheme="minorHAnsi"/>
          <w:color w:val="000000"/>
          <w:sz w:val="24"/>
          <w:szCs w:val="24"/>
          <w:lang w:eastAsia="en-GB"/>
        </w:rPr>
        <w:t>.</w:t>
      </w:r>
      <w:r w:rsidR="003C25B7">
        <w:rPr>
          <w:rFonts w:eastAsia="Times New Roman" w:cstheme="minorHAnsi"/>
          <w:color w:val="000000"/>
          <w:sz w:val="24"/>
          <w:szCs w:val="24"/>
          <w:lang w:eastAsia="en-GB"/>
        </w:rPr>
        <w:t xml:space="preserve"> Although</w:t>
      </w:r>
      <w:r w:rsidR="006C4919">
        <w:rPr>
          <w:rFonts w:eastAsia="Times New Roman" w:cstheme="minorHAnsi"/>
          <w:color w:val="000000"/>
          <w:sz w:val="24"/>
          <w:szCs w:val="24"/>
          <w:lang w:eastAsia="en-GB"/>
        </w:rPr>
        <w:t xml:space="preserve"> self-reported parental engagement in home learning activities</w:t>
      </w:r>
      <w:r w:rsidR="00355EFB">
        <w:rPr>
          <w:rFonts w:eastAsia="Times New Roman" w:cstheme="minorHAnsi"/>
          <w:color w:val="000000"/>
          <w:sz w:val="24"/>
          <w:szCs w:val="24"/>
          <w:lang w:eastAsia="en-GB"/>
        </w:rPr>
        <w:t>, such as reading to children,</w:t>
      </w:r>
      <w:r w:rsidR="006C4919">
        <w:rPr>
          <w:rFonts w:eastAsia="Times New Roman" w:cstheme="minorHAnsi"/>
          <w:color w:val="000000"/>
          <w:sz w:val="24"/>
          <w:szCs w:val="24"/>
          <w:lang w:eastAsia="en-GB"/>
        </w:rPr>
        <w:t xml:space="preserve"> has increased </w:t>
      </w:r>
      <w:r w:rsidR="00355EFB">
        <w:rPr>
          <w:rFonts w:eastAsia="Times New Roman" w:cstheme="minorHAnsi"/>
          <w:color w:val="000000"/>
          <w:sz w:val="24"/>
          <w:szCs w:val="24"/>
          <w:lang w:eastAsia="en-GB"/>
        </w:rPr>
        <w:t xml:space="preserve">over </w:t>
      </w:r>
      <w:r w:rsidR="00355EFB">
        <w:rPr>
          <w:rFonts w:eastAsia="Times New Roman" w:cstheme="minorHAnsi"/>
          <w:color w:val="000000"/>
          <w:sz w:val="24"/>
          <w:szCs w:val="24"/>
          <w:lang w:eastAsia="en-GB"/>
        </w:rPr>
        <w:lastRenderedPageBreak/>
        <w:t>time</w:t>
      </w:r>
      <w:r w:rsidR="00355EFB">
        <w:rPr>
          <w:rStyle w:val="FootnoteReference"/>
          <w:rFonts w:eastAsia="Times New Roman" w:cstheme="minorHAnsi"/>
          <w:color w:val="000000"/>
          <w:sz w:val="24"/>
          <w:szCs w:val="24"/>
          <w:lang w:eastAsia="en-GB"/>
        </w:rPr>
        <w:footnoteReference w:id="30"/>
      </w:r>
      <w:r w:rsidR="003C25B7">
        <w:rPr>
          <w:rFonts w:eastAsia="Times New Roman" w:cstheme="minorHAnsi"/>
          <w:color w:val="000000"/>
          <w:sz w:val="24"/>
          <w:szCs w:val="24"/>
          <w:lang w:eastAsia="en-GB"/>
        </w:rPr>
        <w:t xml:space="preserve">, </w:t>
      </w:r>
      <w:r w:rsidR="00E770D0" w:rsidRPr="00DC2FB0">
        <w:rPr>
          <w:sz w:val="24"/>
          <w:szCs w:val="24"/>
        </w:rPr>
        <w:t>many parents struggle with regular, sustained and positive interactions, because of a lack of confidence, time or capacity, or because they underestimate their impact on young children.</w:t>
      </w:r>
      <w:r w:rsidR="00E770D0">
        <w:rPr>
          <w:sz w:val="24"/>
          <w:szCs w:val="24"/>
        </w:rPr>
        <w:t xml:space="preserve"> This is a particular issue for parents in low-income households: </w:t>
      </w:r>
      <w:r w:rsidR="006C4919">
        <w:rPr>
          <w:sz w:val="24"/>
          <w:szCs w:val="24"/>
        </w:rPr>
        <w:t>enriching home learning activities</w:t>
      </w:r>
      <w:r w:rsidR="008F5B67">
        <w:rPr>
          <w:sz w:val="24"/>
          <w:szCs w:val="24"/>
        </w:rPr>
        <w:t xml:space="preserve"> are consistently associated with fami</w:t>
      </w:r>
      <w:r w:rsidR="00EB1404">
        <w:rPr>
          <w:sz w:val="24"/>
          <w:szCs w:val="24"/>
        </w:rPr>
        <w:t>ly income and parental education</w:t>
      </w:r>
      <w:r w:rsidR="00736DA7">
        <w:rPr>
          <w:sz w:val="24"/>
          <w:szCs w:val="24"/>
        </w:rPr>
        <w:t>.</w:t>
      </w:r>
      <w:r w:rsidR="00EB1404">
        <w:rPr>
          <w:sz w:val="24"/>
          <w:szCs w:val="24"/>
        </w:rPr>
        <w:t xml:space="preserve"> </w:t>
      </w:r>
      <w:r w:rsidR="008F5B67">
        <w:rPr>
          <w:sz w:val="24"/>
          <w:szCs w:val="24"/>
        </w:rPr>
        <w:t xml:space="preserve">Middle and upper-class </w:t>
      </w:r>
      <w:r w:rsidR="00A64697">
        <w:rPr>
          <w:sz w:val="24"/>
          <w:szCs w:val="24"/>
        </w:rPr>
        <w:t>children are more likely to be read to</w:t>
      </w:r>
      <w:r w:rsidR="008025A8">
        <w:rPr>
          <w:rStyle w:val="FootnoteReference"/>
          <w:sz w:val="24"/>
          <w:szCs w:val="24"/>
        </w:rPr>
        <w:footnoteReference w:id="31"/>
      </w:r>
      <w:r w:rsidR="002721CB">
        <w:rPr>
          <w:sz w:val="24"/>
          <w:szCs w:val="24"/>
        </w:rPr>
        <w:t>,</w:t>
      </w:r>
      <w:r w:rsidR="008025A8">
        <w:rPr>
          <w:sz w:val="24"/>
          <w:szCs w:val="24"/>
        </w:rPr>
        <w:t xml:space="preserve"> </w:t>
      </w:r>
      <w:r w:rsidR="002721CB">
        <w:rPr>
          <w:sz w:val="24"/>
          <w:szCs w:val="24"/>
        </w:rPr>
        <w:t xml:space="preserve">and </w:t>
      </w:r>
      <w:r w:rsidR="008025A8">
        <w:rPr>
          <w:sz w:val="24"/>
          <w:szCs w:val="24"/>
        </w:rPr>
        <w:t xml:space="preserve">more likely to </w:t>
      </w:r>
      <w:r w:rsidR="002721CB">
        <w:rPr>
          <w:sz w:val="24"/>
          <w:szCs w:val="24"/>
        </w:rPr>
        <w:t>be exposed to cognitively stimulating activities</w:t>
      </w:r>
      <w:r w:rsidR="002721CB">
        <w:rPr>
          <w:rStyle w:val="FootnoteReference"/>
          <w:sz w:val="24"/>
          <w:szCs w:val="24"/>
        </w:rPr>
        <w:footnoteReference w:id="32"/>
      </w:r>
      <w:r w:rsidR="00A64697">
        <w:rPr>
          <w:sz w:val="24"/>
          <w:szCs w:val="24"/>
        </w:rPr>
        <w:t xml:space="preserve"> in comparison with their low income peers</w:t>
      </w:r>
      <w:r w:rsidR="004D5EEF">
        <w:rPr>
          <w:sz w:val="24"/>
          <w:szCs w:val="24"/>
        </w:rPr>
        <w:t>. They also hear more words</w:t>
      </w:r>
      <w:r w:rsidR="001667B3">
        <w:rPr>
          <w:sz w:val="24"/>
          <w:szCs w:val="24"/>
        </w:rPr>
        <w:t>, and have higher vocabularies at school entry</w:t>
      </w:r>
      <w:r w:rsidR="001667B3">
        <w:rPr>
          <w:rStyle w:val="FootnoteReference"/>
          <w:sz w:val="24"/>
          <w:szCs w:val="24"/>
        </w:rPr>
        <w:footnoteReference w:id="33"/>
      </w:r>
      <w:r w:rsidR="00A64697">
        <w:rPr>
          <w:sz w:val="24"/>
          <w:szCs w:val="24"/>
        </w:rPr>
        <w:t>.</w:t>
      </w:r>
      <w:r w:rsidR="006C4919">
        <w:rPr>
          <w:sz w:val="24"/>
          <w:szCs w:val="24"/>
        </w:rPr>
        <w:t xml:space="preserve"> </w:t>
      </w:r>
    </w:p>
    <w:p w14:paraId="23921324" w14:textId="35F4FF41" w:rsidR="00493E55" w:rsidRDefault="00493E55" w:rsidP="00E770D0">
      <w:pPr>
        <w:spacing w:after="0" w:line="240" w:lineRule="auto"/>
        <w:rPr>
          <w:sz w:val="24"/>
          <w:szCs w:val="24"/>
        </w:rPr>
      </w:pPr>
    </w:p>
    <w:p w14:paraId="684F6D96" w14:textId="525A439A" w:rsidR="00DC4305" w:rsidRPr="00A0417F" w:rsidRDefault="00493E55" w:rsidP="00DC4305">
      <w:pPr>
        <w:spacing w:after="0" w:line="240" w:lineRule="auto"/>
        <w:rPr>
          <w:sz w:val="24"/>
          <w:szCs w:val="24"/>
        </w:rPr>
      </w:pPr>
      <w:r w:rsidRPr="00A0417F">
        <w:rPr>
          <w:sz w:val="24"/>
          <w:szCs w:val="24"/>
        </w:rPr>
        <w:t xml:space="preserve">The most disadvantaged children start school 19 </w:t>
      </w:r>
      <w:r w:rsidRPr="00EF6C49">
        <w:rPr>
          <w:sz w:val="24"/>
          <w:szCs w:val="24"/>
        </w:rPr>
        <w:t>months behind their more well-off peers in language and communication development</w:t>
      </w:r>
      <w:r w:rsidRPr="00EF6C49">
        <w:rPr>
          <w:rStyle w:val="FootnoteReference"/>
          <w:sz w:val="24"/>
          <w:szCs w:val="24"/>
        </w:rPr>
        <w:footnoteReference w:id="34"/>
      </w:r>
      <w:r w:rsidRPr="00EF6C49">
        <w:rPr>
          <w:sz w:val="24"/>
          <w:szCs w:val="24"/>
        </w:rPr>
        <w:t xml:space="preserve">, putting them at an educational disadvantage from the start. </w:t>
      </w:r>
      <w:r w:rsidR="009A5F7A" w:rsidRPr="00EF6C49">
        <w:rPr>
          <w:sz w:val="24"/>
          <w:szCs w:val="24"/>
        </w:rPr>
        <w:t>Of the EYFSP scales, the best predictors of educational success are measures of commun</w:t>
      </w:r>
      <w:r w:rsidR="00DF0EB5">
        <w:rPr>
          <w:sz w:val="24"/>
          <w:szCs w:val="24"/>
        </w:rPr>
        <w:t>ication, language and literacy.</w:t>
      </w:r>
      <w:r w:rsidR="009A5F7A" w:rsidRPr="00EF6C49">
        <w:rPr>
          <w:rStyle w:val="FootnoteReference"/>
          <w:sz w:val="24"/>
          <w:szCs w:val="24"/>
        </w:rPr>
        <w:footnoteReference w:id="35"/>
      </w:r>
      <w:r w:rsidR="003B786C" w:rsidRPr="00EF6C49">
        <w:rPr>
          <w:sz w:val="24"/>
          <w:szCs w:val="24"/>
        </w:rPr>
        <w:t xml:space="preserve"> </w:t>
      </w:r>
      <w:r w:rsidR="004D0B97">
        <w:rPr>
          <w:sz w:val="24"/>
          <w:szCs w:val="24"/>
        </w:rPr>
        <w:t>Yet 28% of children start primary school in England without the early language and literacy skills they need</w:t>
      </w:r>
      <w:r w:rsidR="004D0B97">
        <w:rPr>
          <w:rStyle w:val="FootnoteReference"/>
          <w:sz w:val="24"/>
          <w:szCs w:val="24"/>
        </w:rPr>
        <w:footnoteReference w:id="36"/>
      </w:r>
      <w:r w:rsidR="004D0B97">
        <w:rPr>
          <w:sz w:val="24"/>
          <w:szCs w:val="24"/>
        </w:rPr>
        <w:t xml:space="preserve">. </w:t>
      </w:r>
      <w:r w:rsidR="00DC4305" w:rsidRPr="00A0417F">
        <w:rPr>
          <w:sz w:val="24"/>
          <w:szCs w:val="24"/>
        </w:rPr>
        <w:t xml:space="preserve">For that reason, our early years’ literacy programmes focus on supporting the most disadvantaged children. </w:t>
      </w:r>
      <w:r w:rsidR="00A0417F">
        <w:rPr>
          <w:sz w:val="24"/>
          <w:szCs w:val="24"/>
        </w:rPr>
        <w:t xml:space="preserve">Our Small Talk programme, for example, </w:t>
      </w:r>
      <w:r w:rsidR="00DC4305" w:rsidRPr="00A0417F">
        <w:rPr>
          <w:sz w:val="24"/>
          <w:szCs w:val="24"/>
        </w:rPr>
        <w:t>help</w:t>
      </w:r>
      <w:r w:rsidR="00A0417F">
        <w:rPr>
          <w:sz w:val="24"/>
          <w:szCs w:val="24"/>
        </w:rPr>
        <w:t>s</w:t>
      </w:r>
      <w:r w:rsidR="00DC4305" w:rsidRPr="00A0417F">
        <w:rPr>
          <w:sz w:val="24"/>
          <w:szCs w:val="24"/>
        </w:rPr>
        <w:t xml:space="preserve"> parents turn everyday activities, like having breakfast and visiting the supermarket, into opportunities to build their child’s language and literacy skills. </w:t>
      </w:r>
      <w:r w:rsidR="00A0417F" w:rsidRPr="00A0417F">
        <w:rPr>
          <w:sz w:val="24"/>
          <w:szCs w:val="24"/>
        </w:rPr>
        <w:t xml:space="preserve">An evaluation </w:t>
      </w:r>
      <w:r w:rsidR="00C3689F">
        <w:rPr>
          <w:sz w:val="24"/>
          <w:szCs w:val="24"/>
        </w:rPr>
        <w:t>found the programme has already had an impact</w:t>
      </w:r>
      <w:r w:rsidR="00A0417F" w:rsidRPr="00A0417F">
        <w:rPr>
          <w:sz w:val="24"/>
          <w:szCs w:val="24"/>
        </w:rPr>
        <w:t xml:space="preserve"> in Peterborough and Swindon, where fewer parents engage regularly in positive home learning environment behaviours compared with parents nationally: parents who had been exposed to the campaign were m</w:t>
      </w:r>
      <w:r w:rsidR="00127940">
        <w:rPr>
          <w:sz w:val="24"/>
          <w:szCs w:val="24"/>
        </w:rPr>
        <w:t xml:space="preserve">ore likely to engage in home learning environment </w:t>
      </w:r>
      <w:r w:rsidR="00A0417F" w:rsidRPr="00A0417F">
        <w:rPr>
          <w:sz w:val="24"/>
          <w:szCs w:val="24"/>
        </w:rPr>
        <w:t>behaviours on a daily basis compared with those who couldn’t remember the campaign</w:t>
      </w:r>
      <w:r w:rsidR="00A0417F">
        <w:rPr>
          <w:sz w:val="24"/>
          <w:szCs w:val="24"/>
        </w:rPr>
        <w:t>.</w:t>
      </w:r>
    </w:p>
    <w:p w14:paraId="4BCC9002" w14:textId="3F1F56A5" w:rsidR="00542F77" w:rsidRPr="00A0417F" w:rsidRDefault="00542F77" w:rsidP="00542F77">
      <w:pPr>
        <w:spacing w:after="0" w:line="240" w:lineRule="auto"/>
        <w:rPr>
          <w:b/>
          <w:bCs/>
          <w:sz w:val="24"/>
          <w:szCs w:val="24"/>
          <w:lang w:eastAsia="en-GB"/>
        </w:rPr>
      </w:pPr>
    </w:p>
    <w:p w14:paraId="49B36FDD" w14:textId="3C2F71BA" w:rsidR="00542F77" w:rsidRDefault="00542F77" w:rsidP="00542F77">
      <w:pPr>
        <w:pStyle w:val="ListParagraph"/>
        <w:numPr>
          <w:ilvl w:val="0"/>
          <w:numId w:val="5"/>
        </w:numPr>
        <w:spacing w:after="0" w:line="240" w:lineRule="auto"/>
        <w:rPr>
          <w:b/>
          <w:bCs/>
          <w:szCs w:val="24"/>
          <w:lang w:eastAsia="en-GB"/>
        </w:rPr>
      </w:pPr>
      <w:r w:rsidRPr="00542F77">
        <w:rPr>
          <w:b/>
          <w:bCs/>
          <w:szCs w:val="24"/>
          <w:lang w:eastAsia="en-GB"/>
        </w:rPr>
        <w:t xml:space="preserve">The impact of role models </w:t>
      </w:r>
    </w:p>
    <w:p w14:paraId="032AC3F1" w14:textId="139A21A8" w:rsidR="00831B30" w:rsidRDefault="00831B30" w:rsidP="00831B30">
      <w:pPr>
        <w:spacing w:after="0" w:line="240" w:lineRule="auto"/>
        <w:rPr>
          <w:b/>
          <w:bCs/>
          <w:szCs w:val="24"/>
          <w:lang w:eastAsia="en-GB"/>
        </w:rPr>
      </w:pPr>
    </w:p>
    <w:p w14:paraId="2751725C" w14:textId="356DDB11" w:rsidR="006F1712" w:rsidRDefault="003C3CB5" w:rsidP="009902E7">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Research shows that role models can influence young people’s educational aspirations</w:t>
      </w:r>
      <w:r>
        <w:rPr>
          <w:rStyle w:val="FootnoteReference"/>
          <w:rFonts w:eastAsia="Times New Roman" w:cstheme="minorHAnsi"/>
          <w:color w:val="000000"/>
          <w:sz w:val="24"/>
          <w:szCs w:val="24"/>
          <w:lang w:eastAsia="en-GB"/>
        </w:rPr>
        <w:footnoteReference w:id="37"/>
      </w:r>
      <w:r w:rsidR="009902E7">
        <w:rPr>
          <w:rFonts w:eastAsia="Times New Roman" w:cstheme="minorHAnsi"/>
          <w:color w:val="000000"/>
          <w:sz w:val="24"/>
          <w:szCs w:val="24"/>
          <w:lang w:eastAsia="en-GB"/>
        </w:rPr>
        <w:t xml:space="preserve">. </w:t>
      </w:r>
      <w:r w:rsidR="002D08C2">
        <w:rPr>
          <w:rFonts w:eastAsia="Times New Roman" w:cstheme="minorHAnsi"/>
          <w:color w:val="000000"/>
          <w:sz w:val="24"/>
          <w:szCs w:val="24"/>
          <w:lang w:eastAsia="en-GB"/>
        </w:rPr>
        <w:t xml:space="preserve">The Behavioural Insights Team suggest that role models can </w:t>
      </w:r>
      <w:r w:rsidR="008322D0">
        <w:rPr>
          <w:rFonts w:eastAsia="Times New Roman" w:cstheme="minorHAnsi"/>
          <w:color w:val="000000"/>
          <w:sz w:val="24"/>
          <w:szCs w:val="24"/>
          <w:lang w:eastAsia="en-GB"/>
        </w:rPr>
        <w:t>influence</w:t>
      </w:r>
      <w:r w:rsidR="002D08C2">
        <w:rPr>
          <w:rFonts w:eastAsia="Times New Roman" w:cstheme="minorHAnsi"/>
          <w:color w:val="000000"/>
          <w:sz w:val="24"/>
          <w:szCs w:val="24"/>
          <w:lang w:eastAsia="en-GB"/>
        </w:rPr>
        <w:t xml:space="preserve"> young people’s interest in applying to university</w:t>
      </w:r>
      <w:r w:rsidR="00C724B0">
        <w:rPr>
          <w:rFonts w:eastAsia="Times New Roman" w:cstheme="minorHAnsi"/>
          <w:color w:val="000000"/>
          <w:sz w:val="24"/>
          <w:szCs w:val="24"/>
          <w:lang w:eastAsia="en-GB"/>
        </w:rPr>
        <w:t xml:space="preserve">: </w:t>
      </w:r>
      <w:r w:rsidR="00E56ECD">
        <w:rPr>
          <w:rFonts w:eastAsia="Times New Roman" w:cstheme="minorHAnsi"/>
          <w:color w:val="000000"/>
          <w:sz w:val="24"/>
          <w:szCs w:val="24"/>
          <w:lang w:eastAsia="en-GB"/>
        </w:rPr>
        <w:t>one</w:t>
      </w:r>
      <w:r w:rsidR="00C724B0">
        <w:rPr>
          <w:rFonts w:eastAsia="Times New Roman" w:cstheme="minorHAnsi"/>
          <w:color w:val="000000"/>
          <w:sz w:val="24"/>
          <w:szCs w:val="24"/>
          <w:lang w:eastAsia="en-GB"/>
        </w:rPr>
        <w:t xml:space="preserve"> study found that inspirational talks led to an increase in young people accepting a university place</w:t>
      </w:r>
      <w:r w:rsidR="001C2668">
        <w:rPr>
          <w:rStyle w:val="FootnoteReference"/>
          <w:rFonts w:eastAsia="Times New Roman" w:cstheme="minorHAnsi"/>
          <w:color w:val="000000"/>
          <w:sz w:val="24"/>
          <w:szCs w:val="24"/>
          <w:lang w:eastAsia="en-GB"/>
        </w:rPr>
        <w:footnoteReference w:id="38"/>
      </w:r>
      <w:r w:rsidR="002D08C2">
        <w:rPr>
          <w:rFonts w:eastAsia="Times New Roman" w:cstheme="minorHAnsi"/>
          <w:color w:val="000000"/>
          <w:sz w:val="24"/>
          <w:szCs w:val="24"/>
          <w:lang w:eastAsia="en-GB"/>
        </w:rPr>
        <w:t xml:space="preserve">. </w:t>
      </w:r>
      <w:r w:rsidR="00C724B0">
        <w:rPr>
          <w:rFonts w:eastAsia="Times New Roman" w:cstheme="minorHAnsi"/>
          <w:color w:val="000000"/>
          <w:sz w:val="24"/>
          <w:szCs w:val="24"/>
          <w:lang w:eastAsia="en-GB"/>
        </w:rPr>
        <w:t>As young people from lower income families are much less likely to apply to university</w:t>
      </w:r>
      <w:r w:rsidR="00A9554B">
        <w:rPr>
          <w:rStyle w:val="FootnoteReference"/>
          <w:rFonts w:eastAsia="Times New Roman" w:cstheme="minorHAnsi"/>
          <w:color w:val="000000"/>
          <w:sz w:val="24"/>
          <w:szCs w:val="24"/>
          <w:lang w:eastAsia="en-GB"/>
        </w:rPr>
        <w:footnoteReference w:id="39"/>
      </w:r>
      <w:r w:rsidR="00C724B0">
        <w:rPr>
          <w:rFonts w:eastAsia="Times New Roman" w:cstheme="minorHAnsi"/>
          <w:color w:val="000000"/>
          <w:sz w:val="24"/>
          <w:szCs w:val="24"/>
          <w:lang w:eastAsia="en-GB"/>
        </w:rPr>
        <w:t xml:space="preserve">, </w:t>
      </w:r>
      <w:r w:rsidR="00A9554B">
        <w:rPr>
          <w:rFonts w:eastAsia="Times New Roman" w:cstheme="minorHAnsi"/>
          <w:color w:val="000000"/>
          <w:sz w:val="24"/>
          <w:szCs w:val="24"/>
          <w:lang w:eastAsia="en-GB"/>
        </w:rPr>
        <w:t xml:space="preserve">providing pupils with a role model may boost enthusiasm for further education. </w:t>
      </w:r>
      <w:r w:rsidR="00D97AFE">
        <w:rPr>
          <w:rFonts w:eastAsia="Times New Roman" w:cstheme="minorHAnsi"/>
          <w:color w:val="000000"/>
          <w:sz w:val="24"/>
          <w:szCs w:val="24"/>
          <w:lang w:eastAsia="en-GB"/>
        </w:rPr>
        <w:t>R</w:t>
      </w:r>
      <w:r w:rsidR="006F1712">
        <w:rPr>
          <w:rFonts w:eastAsia="Times New Roman" w:cstheme="minorHAnsi"/>
          <w:color w:val="000000"/>
          <w:sz w:val="24"/>
          <w:szCs w:val="24"/>
          <w:lang w:eastAsia="en-GB"/>
        </w:rPr>
        <w:t>ole models might include</w:t>
      </w:r>
      <w:r w:rsidR="00A9554B">
        <w:rPr>
          <w:rFonts w:eastAsia="Times New Roman" w:cstheme="minorHAnsi"/>
          <w:color w:val="000000"/>
          <w:sz w:val="24"/>
          <w:szCs w:val="24"/>
          <w:lang w:eastAsia="en-GB"/>
        </w:rPr>
        <w:t xml:space="preserve"> teachers,</w:t>
      </w:r>
      <w:r w:rsidR="00067800">
        <w:rPr>
          <w:rFonts w:eastAsia="Times New Roman" w:cstheme="minorHAnsi"/>
          <w:color w:val="000000"/>
          <w:sz w:val="24"/>
          <w:szCs w:val="24"/>
          <w:lang w:eastAsia="en-GB"/>
        </w:rPr>
        <w:t xml:space="preserve"> other pupils,</w:t>
      </w:r>
      <w:r w:rsidR="00A9554B">
        <w:rPr>
          <w:rFonts w:eastAsia="Times New Roman" w:cstheme="minorHAnsi"/>
          <w:color w:val="000000"/>
          <w:sz w:val="24"/>
          <w:szCs w:val="24"/>
          <w:lang w:eastAsia="en-GB"/>
        </w:rPr>
        <w:t xml:space="preserve"> family members, or</w:t>
      </w:r>
      <w:r w:rsidR="006F1712">
        <w:rPr>
          <w:rFonts w:eastAsia="Times New Roman" w:cstheme="minorHAnsi"/>
          <w:color w:val="000000"/>
          <w:sz w:val="24"/>
          <w:szCs w:val="24"/>
          <w:lang w:eastAsia="en-GB"/>
        </w:rPr>
        <w:t xml:space="preserve"> public figures like footballers, actors or musicians, but some research suggests that </w:t>
      </w:r>
      <w:r w:rsidR="009900C9">
        <w:rPr>
          <w:rFonts w:eastAsia="Times New Roman" w:cstheme="minorHAnsi"/>
          <w:color w:val="000000"/>
          <w:sz w:val="24"/>
          <w:szCs w:val="24"/>
          <w:lang w:eastAsia="en-GB"/>
        </w:rPr>
        <w:t>role models</w:t>
      </w:r>
      <w:r w:rsidR="00535066">
        <w:rPr>
          <w:rFonts w:eastAsia="Times New Roman" w:cstheme="minorHAnsi"/>
          <w:color w:val="000000"/>
          <w:sz w:val="24"/>
          <w:szCs w:val="24"/>
          <w:lang w:eastAsia="en-GB"/>
        </w:rPr>
        <w:t xml:space="preserve"> will</w:t>
      </w:r>
      <w:r w:rsidR="006F1712">
        <w:rPr>
          <w:rFonts w:eastAsia="Times New Roman" w:cstheme="minorHAnsi"/>
          <w:color w:val="000000"/>
          <w:sz w:val="24"/>
          <w:szCs w:val="24"/>
          <w:lang w:eastAsia="en-GB"/>
        </w:rPr>
        <w:t xml:space="preserve"> only influence people’s self-belief when their success is deemed to be attainable</w:t>
      </w:r>
      <w:r w:rsidR="006F1712">
        <w:rPr>
          <w:rStyle w:val="FootnoteReference"/>
          <w:rFonts w:eastAsia="Times New Roman" w:cstheme="minorHAnsi"/>
          <w:color w:val="000000"/>
          <w:sz w:val="24"/>
          <w:szCs w:val="24"/>
          <w:lang w:eastAsia="en-GB"/>
        </w:rPr>
        <w:footnoteReference w:id="40"/>
      </w:r>
      <w:r w:rsidR="006F1712">
        <w:rPr>
          <w:rFonts w:eastAsia="Times New Roman" w:cstheme="minorHAnsi"/>
          <w:color w:val="000000"/>
          <w:sz w:val="24"/>
          <w:szCs w:val="24"/>
          <w:lang w:eastAsia="en-GB"/>
        </w:rPr>
        <w:t xml:space="preserve">.  </w:t>
      </w:r>
    </w:p>
    <w:p w14:paraId="743E0A17" w14:textId="77777777" w:rsidR="006F1712" w:rsidRDefault="006F1712" w:rsidP="009902E7">
      <w:pPr>
        <w:spacing w:after="0" w:line="240" w:lineRule="auto"/>
        <w:rPr>
          <w:rFonts w:eastAsia="Times New Roman" w:cstheme="minorHAnsi"/>
          <w:color w:val="000000"/>
          <w:sz w:val="24"/>
          <w:szCs w:val="24"/>
          <w:lang w:eastAsia="en-GB"/>
        </w:rPr>
      </w:pPr>
    </w:p>
    <w:p w14:paraId="01EC5375" w14:textId="1FD26B22" w:rsidR="009902E7" w:rsidRDefault="009902E7" w:rsidP="009902E7">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A survey we conducted found that 78% of children and young people have a role model: these role models were predominantly from within their immediate family</w:t>
      </w:r>
      <w:r>
        <w:rPr>
          <w:rStyle w:val="FootnoteReference"/>
          <w:rFonts w:eastAsia="Times New Roman" w:cstheme="minorHAnsi"/>
          <w:color w:val="000000"/>
          <w:sz w:val="24"/>
          <w:szCs w:val="24"/>
          <w:lang w:eastAsia="en-GB"/>
        </w:rPr>
        <w:footnoteReference w:id="41"/>
      </w:r>
      <w:r w:rsidR="00B76D66">
        <w:rPr>
          <w:rFonts w:eastAsia="Times New Roman" w:cstheme="minorHAnsi"/>
          <w:color w:val="000000"/>
          <w:sz w:val="24"/>
          <w:szCs w:val="24"/>
          <w:lang w:eastAsia="en-GB"/>
        </w:rPr>
        <w:t>. Similarly, a study in the US found that 65% of children named someone they knew as a role model</w:t>
      </w:r>
      <w:r w:rsidR="00B76D66">
        <w:rPr>
          <w:rStyle w:val="FootnoteReference"/>
          <w:rFonts w:eastAsia="Times New Roman" w:cstheme="minorHAnsi"/>
          <w:color w:val="000000"/>
          <w:sz w:val="24"/>
          <w:szCs w:val="24"/>
          <w:lang w:eastAsia="en-GB"/>
        </w:rPr>
        <w:footnoteReference w:id="42"/>
      </w:r>
      <w:r w:rsidR="00B76D66">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 </w:t>
      </w:r>
      <w:r w:rsidR="005D45AD">
        <w:rPr>
          <w:rFonts w:eastAsia="Times New Roman" w:cstheme="minorHAnsi"/>
          <w:color w:val="000000"/>
          <w:sz w:val="24"/>
          <w:szCs w:val="24"/>
          <w:lang w:eastAsia="en-GB"/>
        </w:rPr>
        <w:t>This</w:t>
      </w:r>
      <w:r>
        <w:rPr>
          <w:rFonts w:eastAsia="Times New Roman" w:cstheme="minorHAnsi"/>
          <w:color w:val="000000"/>
          <w:sz w:val="24"/>
          <w:szCs w:val="24"/>
          <w:lang w:eastAsia="en-GB"/>
        </w:rPr>
        <w:t xml:space="preserve"> highlights the important role that parents can play in the home learning environment. Sports people (and footballers in particular) </w:t>
      </w:r>
      <w:r w:rsidR="00D75C24">
        <w:rPr>
          <w:rFonts w:eastAsia="Times New Roman" w:cstheme="minorHAnsi"/>
          <w:color w:val="000000"/>
          <w:sz w:val="24"/>
          <w:szCs w:val="24"/>
          <w:lang w:eastAsia="en-GB"/>
        </w:rPr>
        <w:t>a</w:t>
      </w:r>
      <w:r>
        <w:rPr>
          <w:rFonts w:eastAsia="Times New Roman" w:cstheme="minorHAnsi"/>
          <w:color w:val="000000"/>
          <w:sz w:val="24"/>
          <w:szCs w:val="24"/>
          <w:lang w:eastAsia="en-GB"/>
        </w:rPr>
        <w:t xml:space="preserve">re also frequently mentioned role models, particularly for </w:t>
      </w:r>
      <w:r w:rsidR="00632B10">
        <w:rPr>
          <w:rFonts w:eastAsia="Times New Roman" w:cstheme="minorHAnsi"/>
          <w:color w:val="000000"/>
          <w:sz w:val="24"/>
          <w:szCs w:val="24"/>
          <w:lang w:eastAsia="en-GB"/>
        </w:rPr>
        <w:t>children</w:t>
      </w:r>
      <w:r>
        <w:rPr>
          <w:rFonts w:eastAsia="Times New Roman" w:cstheme="minorHAnsi"/>
          <w:color w:val="000000"/>
          <w:sz w:val="24"/>
          <w:szCs w:val="24"/>
          <w:lang w:eastAsia="en-GB"/>
        </w:rPr>
        <w:t xml:space="preserve"> from lower socio-economic backgrounds. </w:t>
      </w:r>
      <w:r w:rsidRPr="00831B30">
        <w:rPr>
          <w:rFonts w:eastAsia="Times New Roman" w:cstheme="minorHAnsi"/>
          <w:color w:val="000000"/>
          <w:sz w:val="24"/>
          <w:szCs w:val="24"/>
          <w:lang w:eastAsia="en-GB"/>
        </w:rPr>
        <w:t xml:space="preserve">Our Premier League </w:t>
      </w:r>
      <w:r>
        <w:rPr>
          <w:rFonts w:eastAsia="Times New Roman" w:cstheme="minorHAnsi"/>
          <w:color w:val="000000"/>
          <w:sz w:val="24"/>
          <w:szCs w:val="24"/>
          <w:lang w:eastAsia="en-GB"/>
        </w:rPr>
        <w:t>Reading Stars programme, developed in partnership with the Premier League enables children to take part in football-themed challenges and practice their reading skills using football related resources and texts, with footballers acting as their Club’s Reading Star and nominating their favourite book. An evaluation found that the programme is having a positive impact on children’s attainment in reading and writing</w:t>
      </w:r>
      <w:r w:rsidR="009635AE">
        <w:rPr>
          <w:rStyle w:val="FootnoteReference"/>
          <w:rFonts w:eastAsia="Times New Roman" w:cstheme="minorHAnsi"/>
          <w:color w:val="000000"/>
          <w:sz w:val="24"/>
          <w:szCs w:val="24"/>
          <w:lang w:eastAsia="en-GB"/>
        </w:rPr>
        <w:footnoteReference w:id="43"/>
      </w:r>
      <w:r>
        <w:rPr>
          <w:rFonts w:eastAsia="Times New Roman" w:cstheme="minorHAnsi"/>
          <w:color w:val="000000"/>
          <w:sz w:val="24"/>
          <w:szCs w:val="24"/>
          <w:lang w:eastAsia="en-GB"/>
        </w:rPr>
        <w:t xml:space="preserve">. </w:t>
      </w:r>
    </w:p>
    <w:p w14:paraId="0AF0E315" w14:textId="77777777" w:rsidR="003C3CB5" w:rsidRDefault="003C3CB5" w:rsidP="00831B30">
      <w:pPr>
        <w:spacing w:after="0" w:line="240" w:lineRule="auto"/>
        <w:rPr>
          <w:rFonts w:eastAsia="Times New Roman" w:cstheme="minorHAnsi"/>
          <w:color w:val="000000"/>
          <w:sz w:val="24"/>
          <w:szCs w:val="24"/>
          <w:lang w:eastAsia="en-GB"/>
        </w:rPr>
      </w:pPr>
    </w:p>
    <w:p w14:paraId="28A3C8B9" w14:textId="7B1D6FAE" w:rsidR="00993A29" w:rsidRDefault="00400313" w:rsidP="00831B30">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Many of our media campaigns feature well known public figures. Our recently launched Family Zone</w:t>
      </w:r>
      <w:r w:rsidR="00FC78E3">
        <w:rPr>
          <w:rFonts w:eastAsia="Times New Roman" w:cstheme="minorHAnsi"/>
          <w:color w:val="000000"/>
          <w:sz w:val="24"/>
          <w:szCs w:val="24"/>
          <w:lang w:eastAsia="en-GB"/>
        </w:rPr>
        <w:t xml:space="preserve"> (a website containing</w:t>
      </w:r>
      <w:r>
        <w:rPr>
          <w:rFonts w:eastAsia="Times New Roman" w:cstheme="minorHAnsi"/>
          <w:color w:val="000000"/>
          <w:sz w:val="24"/>
          <w:szCs w:val="24"/>
          <w:lang w:eastAsia="en-GB"/>
        </w:rPr>
        <w:t xml:space="preserve"> home learning resources for families</w:t>
      </w:r>
      <w:r w:rsidR="00FC78E3">
        <w:rPr>
          <w:rFonts w:eastAsia="Times New Roman" w:cstheme="minorHAnsi"/>
          <w:color w:val="000000"/>
          <w:sz w:val="24"/>
          <w:szCs w:val="24"/>
          <w:lang w:eastAsia="en-GB"/>
        </w:rPr>
        <w:t>)</w:t>
      </w:r>
      <w:r>
        <w:rPr>
          <w:rFonts w:eastAsia="Times New Roman" w:cstheme="minorHAnsi"/>
          <w:color w:val="000000"/>
          <w:sz w:val="24"/>
          <w:szCs w:val="24"/>
          <w:lang w:eastAsia="en-GB"/>
        </w:rPr>
        <w:t>, features author</w:t>
      </w:r>
      <w:r w:rsidR="00FC78E3">
        <w:rPr>
          <w:rFonts w:eastAsia="Times New Roman" w:cstheme="minorHAnsi"/>
          <w:color w:val="000000"/>
          <w:sz w:val="24"/>
          <w:szCs w:val="24"/>
          <w:lang w:eastAsia="en-GB"/>
        </w:rPr>
        <w:t xml:space="preserve"> vide</w:t>
      </w:r>
      <w:r w:rsidR="00AE3739">
        <w:rPr>
          <w:rFonts w:eastAsia="Times New Roman" w:cstheme="minorHAnsi"/>
          <w:color w:val="000000"/>
          <w:sz w:val="24"/>
          <w:szCs w:val="24"/>
          <w:lang w:eastAsia="en-GB"/>
        </w:rPr>
        <w:t>o</w:t>
      </w:r>
      <w:r w:rsidR="00FC78E3">
        <w:rPr>
          <w:rFonts w:eastAsia="Times New Roman" w:cstheme="minorHAnsi"/>
          <w:color w:val="000000"/>
          <w:sz w:val="24"/>
          <w:szCs w:val="24"/>
          <w:lang w:eastAsia="en-GB"/>
        </w:rPr>
        <w:t>s, while a range of celebrities from footballers to musicians have</w:t>
      </w:r>
      <w:r w:rsidR="00AE3739">
        <w:rPr>
          <w:rFonts w:eastAsia="Times New Roman" w:cstheme="minorHAnsi"/>
          <w:color w:val="000000"/>
          <w:sz w:val="24"/>
          <w:szCs w:val="24"/>
          <w:lang w:eastAsia="en-GB"/>
        </w:rPr>
        <w:t xml:space="preserve"> helped</w:t>
      </w:r>
      <w:r w:rsidR="00FC78E3">
        <w:rPr>
          <w:rFonts w:eastAsia="Times New Roman" w:cstheme="minorHAnsi"/>
          <w:color w:val="000000"/>
          <w:sz w:val="24"/>
          <w:szCs w:val="24"/>
          <w:lang w:eastAsia="en-GB"/>
        </w:rPr>
        <w:t xml:space="preserve"> judge our </w:t>
      </w:r>
      <w:r w:rsidR="00AE3739">
        <w:rPr>
          <w:rFonts w:eastAsia="Times New Roman" w:cstheme="minorHAnsi"/>
          <w:color w:val="000000"/>
          <w:sz w:val="24"/>
          <w:szCs w:val="24"/>
          <w:lang w:eastAsia="en-GB"/>
        </w:rPr>
        <w:t>writing</w:t>
      </w:r>
      <w:r w:rsidR="002F16FD">
        <w:rPr>
          <w:rFonts w:eastAsia="Times New Roman" w:cstheme="minorHAnsi"/>
          <w:color w:val="000000"/>
          <w:sz w:val="24"/>
          <w:szCs w:val="24"/>
          <w:lang w:eastAsia="en-GB"/>
        </w:rPr>
        <w:t xml:space="preserve"> </w:t>
      </w:r>
      <w:r w:rsidR="00FC78E3">
        <w:rPr>
          <w:rFonts w:eastAsia="Times New Roman" w:cstheme="minorHAnsi"/>
          <w:color w:val="000000"/>
          <w:sz w:val="24"/>
          <w:szCs w:val="24"/>
          <w:lang w:eastAsia="en-GB"/>
        </w:rPr>
        <w:t>competitions</w:t>
      </w:r>
      <w:r w:rsidR="000C2639">
        <w:rPr>
          <w:rFonts w:eastAsia="Times New Roman" w:cstheme="minorHAnsi"/>
          <w:color w:val="000000"/>
          <w:sz w:val="24"/>
          <w:szCs w:val="24"/>
          <w:lang w:eastAsia="en-GB"/>
        </w:rPr>
        <w:t xml:space="preserve"> or have taken part in literacy events</w:t>
      </w:r>
      <w:r w:rsidR="00FC78E3">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t>
      </w:r>
      <w:r w:rsidR="000C2639">
        <w:rPr>
          <w:rFonts w:eastAsia="Times New Roman" w:cstheme="minorHAnsi"/>
          <w:color w:val="000000"/>
          <w:sz w:val="24"/>
          <w:szCs w:val="24"/>
          <w:lang w:eastAsia="en-GB"/>
        </w:rPr>
        <w:t xml:space="preserve">Although some evidence suggests that </w:t>
      </w:r>
      <w:r w:rsidR="00EF7FC4">
        <w:rPr>
          <w:rFonts w:eastAsia="Times New Roman" w:cstheme="minorHAnsi"/>
          <w:color w:val="000000"/>
          <w:sz w:val="24"/>
          <w:szCs w:val="24"/>
          <w:lang w:eastAsia="en-GB"/>
        </w:rPr>
        <w:t>people</w:t>
      </w:r>
      <w:r w:rsidR="000C2639">
        <w:rPr>
          <w:rFonts w:eastAsia="Times New Roman" w:cstheme="minorHAnsi"/>
          <w:color w:val="000000"/>
          <w:sz w:val="24"/>
          <w:szCs w:val="24"/>
          <w:lang w:eastAsia="en-GB"/>
        </w:rPr>
        <w:t xml:space="preserve"> with large followings can increase responsiveness </w:t>
      </w:r>
      <w:r w:rsidR="00EF7FC4">
        <w:rPr>
          <w:rFonts w:eastAsia="Times New Roman" w:cstheme="minorHAnsi"/>
          <w:color w:val="000000"/>
          <w:sz w:val="24"/>
          <w:szCs w:val="24"/>
          <w:lang w:eastAsia="en-GB"/>
        </w:rPr>
        <w:t xml:space="preserve">to campaigns </w:t>
      </w:r>
      <w:r w:rsidR="000C2639">
        <w:rPr>
          <w:rFonts w:eastAsia="Times New Roman" w:cstheme="minorHAnsi"/>
          <w:color w:val="000000"/>
          <w:sz w:val="24"/>
          <w:szCs w:val="24"/>
          <w:lang w:eastAsia="en-GB"/>
        </w:rPr>
        <w:t xml:space="preserve">on social media, other research suggests that </w:t>
      </w:r>
      <w:r w:rsidR="00265A1B">
        <w:rPr>
          <w:rFonts w:eastAsia="Times New Roman" w:cstheme="minorHAnsi"/>
          <w:color w:val="000000"/>
          <w:sz w:val="24"/>
          <w:szCs w:val="24"/>
          <w:lang w:eastAsia="en-GB"/>
        </w:rPr>
        <w:t xml:space="preserve">those </w:t>
      </w:r>
      <w:r w:rsidR="00EF7FC4">
        <w:rPr>
          <w:rFonts w:eastAsia="Times New Roman" w:cstheme="minorHAnsi"/>
          <w:color w:val="000000"/>
          <w:sz w:val="24"/>
          <w:szCs w:val="24"/>
          <w:lang w:eastAsia="en-GB"/>
        </w:rPr>
        <w:t xml:space="preserve">celebrities should come from a similar background to the target audience. Research shows that demographic and behavioural similarities </w:t>
      </w:r>
      <w:r w:rsidR="00B84B2D">
        <w:rPr>
          <w:rFonts w:eastAsia="Times New Roman" w:cstheme="minorHAnsi"/>
          <w:color w:val="000000"/>
          <w:sz w:val="24"/>
          <w:szCs w:val="24"/>
          <w:lang w:eastAsia="en-GB"/>
        </w:rPr>
        <w:t>with</w:t>
      </w:r>
      <w:r w:rsidR="00EF7FC4">
        <w:rPr>
          <w:rFonts w:eastAsia="Times New Roman" w:cstheme="minorHAnsi"/>
          <w:color w:val="000000"/>
          <w:sz w:val="24"/>
          <w:szCs w:val="24"/>
          <w:lang w:eastAsia="en-GB"/>
        </w:rPr>
        <w:t xml:space="preserve"> the person delivering a message can improve the effectiveness of </w:t>
      </w:r>
      <w:r w:rsidR="007C3AED">
        <w:rPr>
          <w:rFonts w:eastAsia="Times New Roman" w:cstheme="minorHAnsi"/>
          <w:color w:val="000000"/>
          <w:sz w:val="24"/>
          <w:szCs w:val="24"/>
          <w:lang w:eastAsia="en-GB"/>
        </w:rPr>
        <w:t>role models</w:t>
      </w:r>
      <w:r w:rsidR="00EF7FC4">
        <w:rPr>
          <w:rFonts w:eastAsia="Times New Roman" w:cstheme="minorHAnsi"/>
          <w:color w:val="000000"/>
          <w:sz w:val="24"/>
          <w:szCs w:val="24"/>
          <w:lang w:eastAsia="en-GB"/>
        </w:rPr>
        <w:t>, and that those from lower socio economic groups are more sensitive to the ch</w:t>
      </w:r>
      <w:r w:rsidR="00126EF3">
        <w:rPr>
          <w:rFonts w:eastAsia="Times New Roman" w:cstheme="minorHAnsi"/>
          <w:color w:val="000000"/>
          <w:sz w:val="24"/>
          <w:szCs w:val="24"/>
          <w:lang w:eastAsia="en-GB"/>
        </w:rPr>
        <w:t>aracteristics of the messenger.</w:t>
      </w:r>
      <w:r w:rsidR="00EF7FC4">
        <w:rPr>
          <w:rStyle w:val="FootnoteReference"/>
          <w:rFonts w:eastAsia="Times New Roman" w:cstheme="minorHAnsi"/>
          <w:color w:val="000000"/>
          <w:sz w:val="24"/>
          <w:szCs w:val="24"/>
          <w:lang w:eastAsia="en-GB"/>
        </w:rPr>
        <w:footnoteReference w:id="44"/>
      </w:r>
      <w:r w:rsidR="00AA7C3B">
        <w:rPr>
          <w:rFonts w:eastAsia="Times New Roman" w:cstheme="minorHAnsi"/>
          <w:color w:val="000000"/>
          <w:sz w:val="24"/>
          <w:szCs w:val="24"/>
          <w:lang w:eastAsia="en-GB"/>
        </w:rPr>
        <w:t xml:space="preserve"> A longitudinal study of 80 teenagers found that those who had at least one race and gender matched role model at the beginning of the study performed better academically up to 24 months later, and thought more about their futures.</w:t>
      </w:r>
      <w:r w:rsidR="00AA7C3B">
        <w:rPr>
          <w:rStyle w:val="FootnoteReference"/>
          <w:rFonts w:eastAsia="Times New Roman" w:cstheme="minorHAnsi"/>
          <w:color w:val="000000"/>
          <w:sz w:val="24"/>
          <w:szCs w:val="24"/>
          <w:lang w:eastAsia="en-GB"/>
        </w:rPr>
        <w:footnoteReference w:id="45"/>
      </w:r>
    </w:p>
    <w:p w14:paraId="183A1CC0" w14:textId="25BA8FA7" w:rsidR="00542F77" w:rsidRDefault="00542F77" w:rsidP="00542F77">
      <w:pPr>
        <w:spacing w:after="0" w:line="240" w:lineRule="auto"/>
        <w:rPr>
          <w:b/>
          <w:bCs/>
          <w:szCs w:val="24"/>
          <w:lang w:eastAsia="en-GB"/>
        </w:rPr>
      </w:pPr>
    </w:p>
    <w:p w14:paraId="650B2190" w14:textId="737A053E" w:rsidR="00542F77" w:rsidRDefault="00542F77" w:rsidP="0084140E">
      <w:pPr>
        <w:spacing w:after="0" w:line="240" w:lineRule="auto"/>
        <w:rPr>
          <w:b/>
          <w:bCs/>
          <w:sz w:val="24"/>
          <w:szCs w:val="24"/>
          <w:lang w:eastAsia="en-GB"/>
        </w:rPr>
      </w:pPr>
      <w:r w:rsidRPr="00542F77">
        <w:rPr>
          <w:b/>
          <w:bCs/>
          <w:sz w:val="24"/>
          <w:szCs w:val="24"/>
          <w:lang w:eastAsia="en-GB"/>
        </w:rPr>
        <w:t>The effects of COVID-19 on this group</w:t>
      </w:r>
    </w:p>
    <w:p w14:paraId="1A1B506C" w14:textId="6FF3FBB6" w:rsidR="00ED3F2A" w:rsidRDefault="003B3882" w:rsidP="003B3882">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It is important to consider</w:t>
      </w:r>
      <w:r w:rsidR="00057E05">
        <w:rPr>
          <w:rFonts w:eastAsia="Times New Roman" w:cstheme="minorHAnsi"/>
          <w:color w:val="000000"/>
          <w:sz w:val="24"/>
          <w:szCs w:val="24"/>
          <w:lang w:eastAsia="en-GB"/>
        </w:rPr>
        <w:t xml:space="preserve"> the impact of COVID-19 on all disadvantaged </w:t>
      </w:r>
      <w:r>
        <w:rPr>
          <w:rFonts w:eastAsia="Times New Roman" w:cstheme="minorHAnsi"/>
          <w:color w:val="000000"/>
          <w:sz w:val="24"/>
          <w:szCs w:val="24"/>
          <w:lang w:eastAsia="en-GB"/>
        </w:rPr>
        <w:t>pupils</w:t>
      </w:r>
      <w:r w:rsidR="00057E05">
        <w:rPr>
          <w:rFonts w:eastAsia="Times New Roman" w:cstheme="minorHAnsi"/>
          <w:color w:val="000000"/>
          <w:sz w:val="24"/>
          <w:szCs w:val="24"/>
          <w:lang w:eastAsia="en-GB"/>
        </w:rPr>
        <w:t xml:space="preserve">. While the data shows that white pupils eligible for free school meals are </w:t>
      </w:r>
      <w:r w:rsidR="006D0184">
        <w:rPr>
          <w:rFonts w:eastAsia="Times New Roman" w:cstheme="minorHAnsi"/>
          <w:color w:val="000000"/>
          <w:sz w:val="24"/>
          <w:szCs w:val="24"/>
          <w:lang w:eastAsia="en-GB"/>
        </w:rPr>
        <w:t xml:space="preserve">falling behind, we know that </w:t>
      </w:r>
      <w:r w:rsidR="00057E05">
        <w:rPr>
          <w:rFonts w:eastAsia="Times New Roman" w:cstheme="minorHAnsi"/>
          <w:color w:val="000000"/>
          <w:sz w:val="24"/>
          <w:szCs w:val="24"/>
          <w:lang w:eastAsia="en-GB"/>
        </w:rPr>
        <w:t xml:space="preserve">COVID-19 has </w:t>
      </w:r>
      <w:r>
        <w:rPr>
          <w:rFonts w:eastAsia="Times New Roman" w:cstheme="minorHAnsi"/>
          <w:color w:val="000000"/>
          <w:sz w:val="24"/>
          <w:szCs w:val="24"/>
          <w:lang w:eastAsia="en-GB"/>
        </w:rPr>
        <w:t xml:space="preserve">a </w:t>
      </w:r>
      <w:r w:rsidR="00057E05">
        <w:rPr>
          <w:rFonts w:eastAsia="Times New Roman" w:cstheme="minorHAnsi"/>
          <w:color w:val="000000"/>
          <w:sz w:val="24"/>
          <w:szCs w:val="24"/>
          <w:lang w:eastAsia="en-GB"/>
        </w:rPr>
        <w:t>disproportionate impact on people from BME backgrounds</w:t>
      </w:r>
      <w:r w:rsidR="008F7645">
        <w:rPr>
          <w:rStyle w:val="FootnoteReference"/>
          <w:rFonts w:eastAsia="Times New Roman" w:cstheme="minorHAnsi"/>
          <w:color w:val="000000"/>
          <w:sz w:val="24"/>
          <w:szCs w:val="24"/>
          <w:lang w:eastAsia="en-GB"/>
        </w:rPr>
        <w:footnoteReference w:id="46"/>
      </w:r>
      <w:r>
        <w:rPr>
          <w:rFonts w:eastAsia="Times New Roman" w:cstheme="minorHAnsi"/>
          <w:color w:val="000000"/>
          <w:sz w:val="24"/>
          <w:szCs w:val="24"/>
          <w:lang w:eastAsia="en-GB"/>
        </w:rPr>
        <w:t>, so it is vital that the challenges faced by this group continue to be addressed</w:t>
      </w:r>
      <w:r w:rsidR="00057E05">
        <w:rPr>
          <w:rFonts w:eastAsia="Times New Roman" w:cstheme="minorHAnsi"/>
          <w:color w:val="000000"/>
          <w:sz w:val="24"/>
          <w:szCs w:val="24"/>
          <w:lang w:eastAsia="en-GB"/>
        </w:rPr>
        <w:t xml:space="preserve">. </w:t>
      </w:r>
    </w:p>
    <w:p w14:paraId="5170708D" w14:textId="03CF99AB" w:rsidR="003B3882" w:rsidRDefault="003B3882" w:rsidP="003B3882">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We are concerned that the COVID-19 pandemic will</w:t>
      </w:r>
      <w:r w:rsidRPr="003F6BBE">
        <w:rPr>
          <w:rFonts w:eastAsia="Times New Roman" w:cstheme="minorHAnsi"/>
          <w:color w:val="000000"/>
          <w:sz w:val="24"/>
          <w:szCs w:val="24"/>
          <w:lang w:eastAsia="en-GB"/>
        </w:rPr>
        <w:t xml:space="preserve"> widen the attainment gap suffered by disadvantaged students, who are already </w:t>
      </w:r>
      <w:r>
        <w:rPr>
          <w:rFonts w:eastAsia="Times New Roman" w:cstheme="minorHAnsi"/>
          <w:color w:val="000000"/>
          <w:sz w:val="24"/>
          <w:szCs w:val="24"/>
          <w:lang w:eastAsia="en-GB"/>
        </w:rPr>
        <w:t>twice as likely to leave formal education without GCSEs in English and maths compared to their better-off classmates</w:t>
      </w:r>
      <w:r>
        <w:rPr>
          <w:rStyle w:val="FootnoteReference"/>
          <w:rFonts w:eastAsia="Times New Roman" w:cstheme="minorHAnsi"/>
          <w:color w:val="000000"/>
          <w:sz w:val="24"/>
          <w:szCs w:val="24"/>
          <w:lang w:eastAsia="en-GB"/>
        </w:rPr>
        <w:footnoteReference w:id="47"/>
      </w:r>
      <w:r w:rsidRPr="003F6BBE">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Research from the Sutton Trust shows that only 16% of pupils from working class backgrounds are taking part in live and recorded lessons online every day, compared with 30% of pupils from middle class homes</w:t>
      </w:r>
      <w:r>
        <w:rPr>
          <w:rStyle w:val="FootnoteReference"/>
          <w:rFonts w:eastAsia="Times New Roman" w:cstheme="minorHAnsi"/>
          <w:color w:val="000000"/>
          <w:sz w:val="24"/>
          <w:szCs w:val="24"/>
          <w:lang w:eastAsia="en-GB"/>
        </w:rPr>
        <w:footnoteReference w:id="48"/>
      </w:r>
      <w:r>
        <w:rPr>
          <w:rFonts w:eastAsia="Times New Roman" w:cstheme="minorHAnsi"/>
          <w:color w:val="000000"/>
          <w:sz w:val="24"/>
          <w:szCs w:val="24"/>
          <w:lang w:eastAsia="en-GB"/>
        </w:rPr>
        <w:t xml:space="preserve">.  A new report from the IFS shows that higher-income parents are much more </w:t>
      </w:r>
      <w:r>
        <w:rPr>
          <w:rFonts w:eastAsia="Times New Roman" w:cstheme="minorHAnsi"/>
          <w:color w:val="000000"/>
          <w:sz w:val="24"/>
          <w:szCs w:val="24"/>
          <w:lang w:eastAsia="en-GB"/>
        </w:rPr>
        <w:lastRenderedPageBreak/>
        <w:t>likely than the less well-off to report that their child’s school provides online classes and access to online videoconferencing with teachers, and that children from better-off families are spending 30% more time on home learning than those from poorer families</w:t>
      </w:r>
      <w:r>
        <w:rPr>
          <w:rStyle w:val="FootnoteReference"/>
          <w:rFonts w:eastAsia="Times New Roman" w:cstheme="minorHAnsi"/>
          <w:color w:val="000000"/>
          <w:sz w:val="24"/>
          <w:szCs w:val="24"/>
          <w:lang w:eastAsia="en-GB"/>
        </w:rPr>
        <w:footnoteReference w:id="49"/>
      </w:r>
      <w:r>
        <w:rPr>
          <w:rFonts w:eastAsia="Times New Roman" w:cstheme="minorHAnsi"/>
          <w:color w:val="000000"/>
          <w:sz w:val="24"/>
          <w:szCs w:val="24"/>
          <w:lang w:eastAsia="en-GB"/>
        </w:rPr>
        <w:t xml:space="preserve">. </w:t>
      </w:r>
    </w:p>
    <w:p w14:paraId="619AB51A" w14:textId="77777777" w:rsidR="003B3882" w:rsidRDefault="003B3882" w:rsidP="003B3882">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Evidence already suggests that poorer students fall further behind during breaks from school, due to limited access to enrichment activities and food insecurity, and that the prolonged summer break may be one of the most fundamental contributors towards the attainment gap between richest and poorest children, accounting for almost two thirds of the gap by the time children reach the age of 14</w:t>
      </w:r>
      <w:r>
        <w:rPr>
          <w:rStyle w:val="FootnoteReference"/>
          <w:rFonts w:eastAsia="Times New Roman" w:cstheme="minorHAnsi"/>
          <w:color w:val="000000"/>
          <w:sz w:val="24"/>
          <w:szCs w:val="24"/>
          <w:lang w:eastAsia="en-GB"/>
        </w:rPr>
        <w:footnoteReference w:id="50"/>
      </w:r>
      <w:r>
        <w:rPr>
          <w:rFonts w:eastAsia="Times New Roman" w:cstheme="minorHAnsi"/>
          <w:color w:val="000000"/>
          <w:sz w:val="24"/>
          <w:szCs w:val="24"/>
          <w:lang w:eastAsia="en-GB"/>
        </w:rPr>
        <w:t>. Recent Sutton Trust research shows that that teachers in the most deprived schools are more than twice as likely as those in advantaged schools to say the work their students are submitting during the lockdown is of a much lower quality than normal (15% vs 6%)</w:t>
      </w:r>
      <w:r>
        <w:rPr>
          <w:rStyle w:val="FootnoteReference"/>
          <w:rFonts w:eastAsia="Times New Roman" w:cstheme="minorHAnsi"/>
          <w:color w:val="000000"/>
          <w:sz w:val="24"/>
          <w:szCs w:val="24"/>
          <w:lang w:eastAsia="en-GB"/>
        </w:rPr>
        <w:footnoteReference w:id="51"/>
      </w:r>
      <w:r>
        <w:rPr>
          <w:rFonts w:eastAsia="Times New Roman" w:cstheme="minorHAnsi"/>
          <w:color w:val="000000"/>
          <w:sz w:val="24"/>
          <w:szCs w:val="24"/>
          <w:lang w:eastAsia="en-GB"/>
        </w:rPr>
        <w:t>. 73% of teachers anticipate a negative impact on pupil’s attainment and progression</w:t>
      </w:r>
      <w:r>
        <w:rPr>
          <w:rStyle w:val="FootnoteReference"/>
          <w:rFonts w:eastAsia="Times New Roman" w:cstheme="minorHAnsi"/>
          <w:color w:val="000000"/>
          <w:sz w:val="24"/>
          <w:szCs w:val="24"/>
          <w:lang w:eastAsia="en-GB"/>
        </w:rPr>
        <w:footnoteReference w:id="52"/>
      </w:r>
      <w:r>
        <w:rPr>
          <w:rFonts w:eastAsia="Times New Roman" w:cstheme="minorHAnsi"/>
          <w:color w:val="000000"/>
          <w:sz w:val="24"/>
          <w:szCs w:val="24"/>
          <w:lang w:eastAsia="en-GB"/>
        </w:rPr>
        <w:t xml:space="preserve">. </w:t>
      </w:r>
    </w:p>
    <w:p w14:paraId="07228529" w14:textId="77777777" w:rsidR="003B3882" w:rsidRPr="00C72BC5" w:rsidRDefault="003B3882" w:rsidP="003B3882">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We are particularly concerned about the impact on children’s literacy. </w:t>
      </w:r>
      <w:r w:rsidRPr="00C72BC5">
        <w:rPr>
          <w:rFonts w:eastAsia="Times New Roman" w:cstheme="minorHAnsi"/>
          <w:color w:val="000000"/>
          <w:sz w:val="24"/>
          <w:szCs w:val="24"/>
          <w:lang w:eastAsia="en-GB"/>
        </w:rPr>
        <w:t xml:space="preserve">Poor literacy levels reflect and reinforce social and economic inequality. The areas in England with the lowest literacy are the most economically disadvantaged. Tackling low literacy is a vital element of action against poverty and improving literacy boosts life chances, increasing employability and earning potential. However, </w:t>
      </w:r>
      <w:r>
        <w:rPr>
          <w:rFonts w:eastAsia="Times New Roman" w:cstheme="minorHAnsi"/>
          <w:color w:val="000000"/>
          <w:sz w:val="24"/>
          <w:szCs w:val="24"/>
          <w:lang w:eastAsia="en-GB"/>
        </w:rPr>
        <w:t>the COVID-19 pandemic</w:t>
      </w:r>
      <w:r w:rsidRPr="00C72BC5">
        <w:rPr>
          <w:rFonts w:eastAsia="Times New Roman" w:cstheme="minorHAnsi"/>
          <w:color w:val="000000"/>
          <w:sz w:val="24"/>
          <w:szCs w:val="24"/>
          <w:lang w:eastAsia="en-GB"/>
        </w:rPr>
        <w:t xml:space="preserve"> will result in the</w:t>
      </w:r>
      <w:r w:rsidRPr="00C72BC5">
        <w:rPr>
          <w:sz w:val="24"/>
          <w:szCs w:val="24"/>
        </w:rPr>
        <w:t xml:space="preserve"> gap between the literacy of children from poorer backgrounds and their more affluent peers</w:t>
      </w:r>
      <w:r>
        <w:rPr>
          <w:sz w:val="24"/>
          <w:szCs w:val="24"/>
        </w:rPr>
        <w:t xml:space="preserve"> becoming even wider</w:t>
      </w:r>
      <w:r w:rsidRPr="00C72BC5">
        <w:rPr>
          <w:rFonts w:eastAsia="Times New Roman" w:cstheme="minorHAnsi"/>
          <w:color w:val="000000"/>
          <w:sz w:val="24"/>
          <w:szCs w:val="24"/>
          <w:lang w:eastAsia="en-GB"/>
        </w:rPr>
        <w:t xml:space="preserve">. </w:t>
      </w:r>
    </w:p>
    <w:p w14:paraId="525B19C9" w14:textId="77777777" w:rsidR="003B3882" w:rsidRDefault="003B3882" w:rsidP="003B3882">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While many organisations, including the National Literacy Trust, are offering free online educational resources, we know that</w:t>
      </w:r>
      <w:r>
        <w:rPr>
          <w:rFonts w:eastAsia="Times New Roman" w:cstheme="minorHAnsi"/>
          <w:i/>
          <w:color w:val="000000"/>
          <w:sz w:val="24"/>
          <w:szCs w:val="24"/>
          <w:lang w:eastAsia="en-GB"/>
        </w:rPr>
        <w:t xml:space="preserve"> </w:t>
      </w:r>
      <w:r>
        <w:rPr>
          <w:rFonts w:eastAsia="Times New Roman" w:cstheme="minorHAnsi"/>
          <w:color w:val="000000"/>
          <w:sz w:val="24"/>
          <w:szCs w:val="24"/>
          <w:lang w:eastAsia="en-GB"/>
        </w:rPr>
        <w:t xml:space="preserve">many of the most vulnerable children </w:t>
      </w:r>
      <w:r w:rsidRPr="003F6BBE">
        <w:rPr>
          <w:rFonts w:eastAsia="Times New Roman" w:cstheme="minorHAnsi"/>
          <w:color w:val="000000"/>
          <w:sz w:val="24"/>
          <w:szCs w:val="24"/>
          <w:lang w:eastAsia="en-GB"/>
        </w:rPr>
        <w:t xml:space="preserve">don’t have the technology they need to </w:t>
      </w:r>
      <w:r>
        <w:rPr>
          <w:rFonts w:eastAsia="Times New Roman" w:cstheme="minorHAnsi"/>
          <w:color w:val="000000"/>
          <w:sz w:val="24"/>
          <w:szCs w:val="24"/>
          <w:lang w:eastAsia="en-GB"/>
        </w:rPr>
        <w:t>access these</w:t>
      </w:r>
      <w:r w:rsidRPr="003F6BBE">
        <w:rPr>
          <w:rFonts w:eastAsia="Times New Roman" w:cstheme="minorHAnsi"/>
          <w:color w:val="000000"/>
          <w:sz w:val="24"/>
          <w:szCs w:val="24"/>
          <w:lang w:eastAsia="en-GB"/>
        </w:rPr>
        <w:t xml:space="preserve"> from home</w:t>
      </w:r>
      <w:r>
        <w:rPr>
          <w:rFonts w:eastAsia="Times New Roman" w:cstheme="minorHAnsi"/>
          <w:color w:val="000000"/>
          <w:sz w:val="24"/>
          <w:szCs w:val="24"/>
          <w:lang w:eastAsia="en-GB"/>
        </w:rPr>
        <w:t>. A survey of more than 6,000 teachers by Teacher Tapp found that only 2% of teachers working in the poorest communities believe all their pupils can access the internet at home</w:t>
      </w:r>
      <w:r>
        <w:rPr>
          <w:rStyle w:val="FootnoteReference"/>
          <w:rFonts w:eastAsia="Times New Roman" w:cstheme="minorHAnsi"/>
          <w:color w:val="000000"/>
          <w:sz w:val="24"/>
          <w:szCs w:val="24"/>
          <w:lang w:eastAsia="en-GB"/>
        </w:rPr>
        <w:footnoteReference w:id="53"/>
      </w:r>
      <w:r>
        <w:rPr>
          <w:rFonts w:eastAsia="Times New Roman" w:cstheme="minorHAnsi"/>
          <w:color w:val="000000"/>
          <w:sz w:val="24"/>
          <w:szCs w:val="24"/>
          <w:lang w:eastAsia="en-GB"/>
        </w:rPr>
        <w:t>, while Sutton Trust research found that over a third of parents with children aged 5-16 reported that their child does not have access to their own computer, laptop or tablet</w:t>
      </w:r>
      <w:r>
        <w:rPr>
          <w:rStyle w:val="FootnoteReference"/>
          <w:rFonts w:eastAsia="Times New Roman" w:cstheme="minorHAnsi"/>
          <w:color w:val="000000"/>
          <w:sz w:val="24"/>
          <w:szCs w:val="24"/>
          <w:lang w:eastAsia="en-GB"/>
        </w:rPr>
        <w:footnoteReference w:id="54"/>
      </w:r>
      <w:r>
        <w:rPr>
          <w:rFonts w:eastAsia="Times New Roman" w:cstheme="minorHAnsi"/>
          <w:color w:val="000000"/>
          <w:sz w:val="24"/>
          <w:szCs w:val="24"/>
          <w:lang w:eastAsia="en-GB"/>
        </w:rPr>
        <w:t xml:space="preserve">. While we welcome the Government’s commitment to providing free laptops or tablets and 4G routers to disadvantaged pupils, we are concerned that many disadvantaged pupils, including those who do not receive support from a social worker, will not benefit from this scheme. </w:t>
      </w:r>
    </w:p>
    <w:p w14:paraId="0BF90E16" w14:textId="77777777" w:rsidR="003B3882" w:rsidRDefault="003B3882" w:rsidP="003B3882">
      <w:pPr>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In addition,</w:t>
      </w:r>
      <w:r w:rsidRPr="003F6BBE">
        <w:rPr>
          <w:rFonts w:eastAsia="Times New Roman" w:cstheme="minorHAnsi"/>
          <w:color w:val="000000"/>
          <w:sz w:val="24"/>
          <w:szCs w:val="24"/>
          <w:lang w:eastAsia="en-GB"/>
        </w:rPr>
        <w:t xml:space="preserve"> the parents</w:t>
      </w:r>
      <w:r>
        <w:rPr>
          <w:rFonts w:eastAsia="Times New Roman" w:cstheme="minorHAnsi"/>
          <w:color w:val="000000"/>
          <w:sz w:val="24"/>
          <w:szCs w:val="24"/>
          <w:lang w:eastAsia="en-GB"/>
        </w:rPr>
        <w:t xml:space="preserve"> of the most vulnerable children</w:t>
      </w:r>
      <w:r w:rsidRPr="003F6BBE">
        <w:rPr>
          <w:rFonts w:eastAsia="Times New Roman" w:cstheme="minorHAnsi"/>
          <w:color w:val="000000"/>
          <w:sz w:val="24"/>
          <w:szCs w:val="24"/>
          <w:lang w:eastAsia="en-GB"/>
        </w:rPr>
        <w:t xml:space="preserve"> frequently lack the skills, confidence and motivation to support their learning outside of a school environment. </w:t>
      </w:r>
      <w:r>
        <w:rPr>
          <w:rFonts w:eastAsia="Times New Roman" w:cstheme="minorHAnsi"/>
          <w:color w:val="000000"/>
          <w:sz w:val="24"/>
          <w:szCs w:val="24"/>
          <w:lang w:eastAsia="en-GB"/>
        </w:rPr>
        <w:t>A survey conducted by the Sutton Trust and Public First found that just 37% of parents in the C2DE social grade were confident teaching their children and explaining things when they are learning from home, compared with 47% of those in the ABC1 grade</w:t>
      </w:r>
      <w:r>
        <w:rPr>
          <w:rStyle w:val="FootnoteReference"/>
          <w:rFonts w:eastAsia="Times New Roman" w:cstheme="minorHAnsi"/>
          <w:color w:val="000000"/>
          <w:sz w:val="24"/>
          <w:szCs w:val="24"/>
          <w:lang w:eastAsia="en-GB"/>
        </w:rPr>
        <w:footnoteReference w:id="55"/>
      </w:r>
      <w:r>
        <w:rPr>
          <w:rFonts w:eastAsia="Times New Roman" w:cstheme="minorHAnsi"/>
          <w:color w:val="000000"/>
          <w:sz w:val="24"/>
          <w:szCs w:val="24"/>
          <w:lang w:eastAsia="en-GB"/>
        </w:rPr>
        <w:t xml:space="preserve">. </w:t>
      </w:r>
      <w:r w:rsidRPr="00851A71">
        <w:rPr>
          <w:rFonts w:eastAsia="Times New Roman" w:cstheme="minorHAnsi"/>
          <w:color w:val="000000"/>
          <w:sz w:val="24"/>
          <w:szCs w:val="24"/>
          <w:lang w:eastAsia="en-GB"/>
        </w:rPr>
        <w:t xml:space="preserve">Research also shows that disadvantaged families are likely to have less </w:t>
      </w:r>
      <w:r>
        <w:rPr>
          <w:rFonts w:eastAsia="Times New Roman" w:cstheme="minorHAnsi"/>
          <w:color w:val="000000"/>
          <w:sz w:val="24"/>
          <w:szCs w:val="24"/>
          <w:lang w:eastAsia="en-GB"/>
        </w:rPr>
        <w:t>capacity </w:t>
      </w:r>
      <w:r w:rsidRPr="00851A71">
        <w:rPr>
          <w:rFonts w:eastAsia="Times New Roman" w:cstheme="minorHAnsi"/>
          <w:color w:val="000000"/>
          <w:sz w:val="24"/>
          <w:szCs w:val="24"/>
          <w:lang w:eastAsia="en-GB"/>
        </w:rPr>
        <w:t>to support their children’s home</w:t>
      </w:r>
      <w:r>
        <w:rPr>
          <w:rFonts w:eastAsia="Times New Roman" w:cstheme="minorHAnsi"/>
          <w:color w:val="000000"/>
          <w:sz w:val="24"/>
          <w:szCs w:val="24"/>
          <w:lang w:eastAsia="en-GB"/>
        </w:rPr>
        <w:t>-</w:t>
      </w:r>
      <w:r>
        <w:rPr>
          <w:rFonts w:eastAsia="Times New Roman" w:cstheme="minorHAnsi"/>
          <w:color w:val="000000"/>
          <w:sz w:val="24"/>
          <w:szCs w:val="24"/>
          <w:lang w:eastAsia="en-GB"/>
        </w:rPr>
        <w:lastRenderedPageBreak/>
        <w:t>schooling during this period: t</w:t>
      </w:r>
      <w:r w:rsidRPr="00851A71">
        <w:rPr>
          <w:rFonts w:eastAsia="Times New Roman" w:cstheme="minorHAnsi"/>
          <w:color w:val="000000"/>
          <w:sz w:val="24"/>
          <w:szCs w:val="24"/>
          <w:lang w:eastAsia="en-GB"/>
        </w:rPr>
        <w:t>hose with the lowest household income were six times less likely to be able to work from home and three times less likely to be able to self-isolate</w:t>
      </w:r>
      <w:r>
        <w:rPr>
          <w:rStyle w:val="FootnoteReference"/>
          <w:rFonts w:eastAsia="Times New Roman" w:cstheme="minorHAnsi"/>
          <w:color w:val="000000"/>
          <w:sz w:val="24"/>
          <w:szCs w:val="24"/>
          <w:lang w:eastAsia="en-GB"/>
        </w:rPr>
        <w:footnoteReference w:id="56"/>
      </w:r>
      <w:r w:rsidRPr="00851A71">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t>
      </w:r>
    </w:p>
    <w:p w14:paraId="6C9E2234" w14:textId="77777777" w:rsidR="003B3882" w:rsidRDefault="003B3882" w:rsidP="003B3882">
      <w:pPr>
        <w:spacing w:after="0" w:line="240" w:lineRule="auto"/>
        <w:jc w:val="both"/>
        <w:rPr>
          <w:rFonts w:eastAsia="Times New Roman" w:cstheme="minorHAnsi"/>
          <w:color w:val="000000"/>
          <w:sz w:val="24"/>
          <w:szCs w:val="24"/>
          <w:lang w:eastAsia="en-GB"/>
        </w:rPr>
      </w:pPr>
    </w:p>
    <w:p w14:paraId="09931849" w14:textId="77777777" w:rsidR="003B3882" w:rsidRDefault="003B3882" w:rsidP="003B3882">
      <w:pPr>
        <w:spacing w:after="0" w:line="240" w:lineRule="auto"/>
        <w:jc w:val="both"/>
        <w:rPr>
          <w:rFonts w:eastAsia="Times New Roman" w:cstheme="minorHAnsi"/>
          <w:color w:val="000000"/>
          <w:sz w:val="24"/>
          <w:szCs w:val="24"/>
          <w:lang w:eastAsia="en-GB"/>
        </w:rPr>
      </w:pPr>
      <w:r w:rsidRPr="00B8512C">
        <w:rPr>
          <w:rFonts w:eastAsia="Times New Roman" w:cstheme="minorHAnsi"/>
          <w:color w:val="000000"/>
          <w:sz w:val="24"/>
          <w:szCs w:val="24"/>
          <w:lang w:eastAsia="en-GB"/>
        </w:rPr>
        <w:t>Research from the Child Poverty Action Group found that families with dependent children are likely to be negatively affected by the financial, emotional and physical implications of lockdown.</w:t>
      </w:r>
      <w:r>
        <w:rPr>
          <w:rFonts w:eastAsia="Times New Roman" w:cstheme="minorHAnsi"/>
          <w:color w:val="000000"/>
          <w:sz w:val="24"/>
          <w:szCs w:val="24"/>
          <w:lang w:eastAsia="en-GB"/>
        </w:rPr>
        <w:t xml:space="preserve"> Many families are concerned about their finances, particularly when the closure of schools has led to mounting utility bills and food bills</w:t>
      </w:r>
      <w:r>
        <w:rPr>
          <w:rStyle w:val="FootnoteReference"/>
          <w:rFonts w:eastAsia="Times New Roman" w:cstheme="minorHAnsi"/>
          <w:color w:val="000000"/>
          <w:sz w:val="24"/>
          <w:szCs w:val="24"/>
          <w:lang w:eastAsia="en-GB"/>
        </w:rPr>
        <w:footnoteReference w:id="57"/>
      </w:r>
      <w:r>
        <w:rPr>
          <w:rFonts w:eastAsia="Times New Roman" w:cstheme="minorHAnsi"/>
          <w:color w:val="000000"/>
          <w:sz w:val="24"/>
          <w:szCs w:val="24"/>
          <w:lang w:eastAsia="en-GB"/>
        </w:rPr>
        <w:t>: An ONS survey found that 39% of parents have had their household finances affected by COVID-19 compared to 22% of non-parents</w:t>
      </w:r>
      <w:r>
        <w:rPr>
          <w:rStyle w:val="FootnoteReference"/>
          <w:rFonts w:eastAsia="Times New Roman" w:cstheme="minorHAnsi"/>
          <w:color w:val="000000"/>
          <w:sz w:val="24"/>
          <w:szCs w:val="24"/>
          <w:lang w:eastAsia="en-GB"/>
        </w:rPr>
        <w:footnoteReference w:id="58"/>
      </w:r>
      <w:r>
        <w:rPr>
          <w:rFonts w:eastAsia="Times New Roman" w:cstheme="minorHAnsi"/>
          <w:color w:val="000000"/>
          <w:sz w:val="24"/>
          <w:szCs w:val="24"/>
          <w:lang w:eastAsia="en-GB"/>
        </w:rPr>
        <w:t xml:space="preserve">, while </w:t>
      </w:r>
      <w:r w:rsidRPr="00DC2FB0">
        <w:rPr>
          <w:rFonts w:eastAsia="Times New Roman" w:cstheme="minorHAnsi"/>
          <w:color w:val="000000"/>
          <w:sz w:val="24"/>
          <w:szCs w:val="24"/>
          <w:lang w:eastAsia="en-GB"/>
        </w:rPr>
        <w:t>Action for Children research shows that families reported being most worried about not being able to afford food, followed by electricity and gas, then nappies</w:t>
      </w:r>
      <w:r w:rsidRPr="00DC2FB0">
        <w:rPr>
          <w:rStyle w:val="FootnoteReference"/>
          <w:rFonts w:eastAsia="Times New Roman" w:cstheme="minorHAnsi"/>
          <w:color w:val="000000"/>
          <w:sz w:val="24"/>
          <w:szCs w:val="24"/>
          <w:lang w:eastAsia="en-GB"/>
        </w:rPr>
        <w:footnoteReference w:id="59"/>
      </w:r>
      <w:r>
        <w:rPr>
          <w:rFonts w:eastAsia="Times New Roman" w:cstheme="minorHAnsi"/>
          <w:color w:val="000000"/>
          <w:sz w:val="24"/>
          <w:szCs w:val="24"/>
          <w:lang w:eastAsia="en-GB"/>
        </w:rPr>
        <w:t>, and a survey from the Food Foundation found that 5 million people living in households with children have experienced food insecurity since lockdown started</w:t>
      </w:r>
      <w:r>
        <w:rPr>
          <w:rStyle w:val="FootnoteReference"/>
          <w:rFonts w:eastAsia="Times New Roman" w:cstheme="minorHAnsi"/>
          <w:color w:val="000000"/>
          <w:sz w:val="24"/>
          <w:szCs w:val="24"/>
          <w:lang w:eastAsia="en-GB"/>
        </w:rPr>
        <w:footnoteReference w:id="60"/>
      </w:r>
      <w:r>
        <w:rPr>
          <w:rFonts w:eastAsia="Times New Roman" w:cstheme="minorHAnsi"/>
          <w:color w:val="000000"/>
          <w:sz w:val="24"/>
          <w:szCs w:val="24"/>
          <w:lang w:eastAsia="en-GB"/>
        </w:rPr>
        <w:t>.</w:t>
      </w:r>
      <w:r w:rsidRPr="00DC2FB0">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Data from the Children’s Commissioner also shows that many children are living in overcrowded conditions, making it difficult to learn</w:t>
      </w:r>
      <w:r>
        <w:rPr>
          <w:rStyle w:val="FootnoteReference"/>
          <w:rFonts w:eastAsia="Times New Roman" w:cstheme="minorHAnsi"/>
          <w:color w:val="000000"/>
          <w:sz w:val="24"/>
          <w:szCs w:val="24"/>
          <w:lang w:eastAsia="en-GB"/>
        </w:rPr>
        <w:footnoteReference w:id="61"/>
      </w:r>
      <w:r>
        <w:rPr>
          <w:rFonts w:eastAsia="Times New Roman" w:cstheme="minorHAnsi"/>
          <w:color w:val="000000"/>
          <w:sz w:val="24"/>
          <w:szCs w:val="24"/>
          <w:lang w:eastAsia="en-GB"/>
        </w:rPr>
        <w:t>. It is likely that these challenges will indirectly impact on attainment. There are also long-term implications when many children’s charities are at risk of closing: the Childhood Trust estimate that 40% of child poverty charities in London will be forced to close within 6 months. This is worrying when we know that child poverty was already rising before coronavirus</w:t>
      </w:r>
      <w:r>
        <w:rPr>
          <w:rStyle w:val="FootnoteReference"/>
          <w:rFonts w:eastAsia="Times New Roman" w:cstheme="minorHAnsi"/>
          <w:color w:val="000000"/>
          <w:sz w:val="24"/>
          <w:szCs w:val="24"/>
          <w:lang w:eastAsia="en-GB"/>
        </w:rPr>
        <w:footnoteReference w:id="62"/>
      </w:r>
      <w:r>
        <w:rPr>
          <w:rFonts w:eastAsia="Times New Roman" w:cstheme="minorHAnsi"/>
          <w:color w:val="000000"/>
          <w:sz w:val="24"/>
          <w:szCs w:val="24"/>
          <w:lang w:eastAsia="en-GB"/>
        </w:rPr>
        <w:t xml:space="preserve">. </w:t>
      </w:r>
    </w:p>
    <w:p w14:paraId="4C252944" w14:textId="77777777" w:rsidR="00D0337B" w:rsidRDefault="00D0337B" w:rsidP="0084140E">
      <w:pPr>
        <w:spacing w:after="0" w:line="240" w:lineRule="auto"/>
        <w:rPr>
          <w:b/>
          <w:bCs/>
          <w:sz w:val="24"/>
          <w:szCs w:val="24"/>
          <w:lang w:eastAsia="en-GB"/>
        </w:rPr>
      </w:pPr>
    </w:p>
    <w:p w14:paraId="7F66AFAE" w14:textId="2BE728B8" w:rsidR="00542F77" w:rsidRDefault="00542F77" w:rsidP="0084140E">
      <w:pPr>
        <w:spacing w:after="0" w:line="240" w:lineRule="auto"/>
        <w:rPr>
          <w:b/>
          <w:bCs/>
          <w:sz w:val="24"/>
          <w:szCs w:val="24"/>
          <w:lang w:eastAsia="en-GB"/>
        </w:rPr>
      </w:pPr>
      <w:r w:rsidRPr="00542F77">
        <w:rPr>
          <w:b/>
          <w:bCs/>
          <w:sz w:val="24"/>
          <w:szCs w:val="24"/>
          <w:lang w:eastAsia="en-GB"/>
        </w:rPr>
        <w:t>The impacts of this underachievement, both for individuals and for communities</w:t>
      </w:r>
    </w:p>
    <w:p w14:paraId="16D19387" w14:textId="01156376" w:rsidR="00662D30" w:rsidRDefault="00662D30" w:rsidP="0084140E">
      <w:pPr>
        <w:spacing w:after="0" w:line="240" w:lineRule="auto"/>
        <w:rPr>
          <w:sz w:val="24"/>
          <w:szCs w:val="24"/>
          <w:lang w:eastAsia="en-GB"/>
        </w:rPr>
      </w:pPr>
    </w:p>
    <w:p w14:paraId="389F5B0E" w14:textId="77777777" w:rsidR="00022444" w:rsidRDefault="000F5141" w:rsidP="0084140E">
      <w:pPr>
        <w:spacing w:after="0" w:line="240" w:lineRule="auto"/>
        <w:rPr>
          <w:sz w:val="24"/>
          <w:szCs w:val="24"/>
          <w:lang w:eastAsia="en-GB"/>
        </w:rPr>
      </w:pPr>
      <w:r>
        <w:rPr>
          <w:sz w:val="24"/>
          <w:szCs w:val="24"/>
          <w:lang w:eastAsia="en-GB"/>
        </w:rPr>
        <w:t xml:space="preserve">We are particularly concerned about the impact of underachievement in literacy. </w:t>
      </w:r>
      <w:r w:rsidR="00A74C7C">
        <w:rPr>
          <w:sz w:val="24"/>
          <w:szCs w:val="24"/>
          <w:lang w:eastAsia="en-GB"/>
        </w:rPr>
        <w:t>Good speech, language and communication skills are essential for doing well at school</w:t>
      </w:r>
      <w:r w:rsidR="00A74C7C">
        <w:rPr>
          <w:rStyle w:val="FootnoteReference"/>
          <w:sz w:val="24"/>
          <w:szCs w:val="24"/>
          <w:lang w:eastAsia="en-GB"/>
        </w:rPr>
        <w:footnoteReference w:id="63"/>
      </w:r>
      <w:r w:rsidR="00905F8B">
        <w:rPr>
          <w:sz w:val="24"/>
          <w:szCs w:val="24"/>
          <w:lang w:eastAsia="en-GB"/>
        </w:rPr>
        <w:t>: for example, good literacy is associated with closing the attainment gap in science</w:t>
      </w:r>
      <w:r w:rsidR="00905F8B">
        <w:rPr>
          <w:rStyle w:val="FootnoteReference"/>
          <w:sz w:val="24"/>
          <w:szCs w:val="24"/>
          <w:lang w:eastAsia="en-GB"/>
        </w:rPr>
        <w:footnoteReference w:id="64"/>
      </w:r>
      <w:r w:rsidR="00905F8B">
        <w:rPr>
          <w:sz w:val="24"/>
          <w:szCs w:val="24"/>
          <w:lang w:eastAsia="en-GB"/>
        </w:rPr>
        <w:t xml:space="preserve"> and can help pupils learn geography more effectively</w:t>
      </w:r>
      <w:r w:rsidR="00905F8B">
        <w:rPr>
          <w:rStyle w:val="FootnoteReference"/>
          <w:sz w:val="24"/>
          <w:szCs w:val="24"/>
          <w:lang w:eastAsia="en-GB"/>
        </w:rPr>
        <w:footnoteReference w:id="65"/>
      </w:r>
      <w:r w:rsidR="00905F8B">
        <w:rPr>
          <w:sz w:val="24"/>
          <w:szCs w:val="24"/>
          <w:lang w:eastAsia="en-GB"/>
        </w:rPr>
        <w:t>. However, i</w:t>
      </w:r>
      <w:r w:rsidR="007E5362">
        <w:rPr>
          <w:sz w:val="24"/>
          <w:szCs w:val="24"/>
          <w:lang w:eastAsia="en-GB"/>
        </w:rPr>
        <w:t>n 2019 only 51% of disadvantaged pupils reached the expected standard in reading, writing and maths, compared to 71% for all other pupils</w:t>
      </w:r>
      <w:r w:rsidR="007E5362">
        <w:rPr>
          <w:rStyle w:val="FootnoteReference"/>
          <w:sz w:val="24"/>
          <w:szCs w:val="24"/>
          <w:lang w:eastAsia="en-GB"/>
        </w:rPr>
        <w:footnoteReference w:id="66"/>
      </w:r>
      <w:r w:rsidR="007E5362">
        <w:rPr>
          <w:sz w:val="24"/>
          <w:szCs w:val="24"/>
          <w:lang w:eastAsia="en-GB"/>
        </w:rPr>
        <w:t>.</w:t>
      </w:r>
    </w:p>
    <w:p w14:paraId="26DABE27" w14:textId="77777777" w:rsidR="00022444" w:rsidRDefault="00022444" w:rsidP="0084140E">
      <w:pPr>
        <w:spacing w:after="0" w:line="240" w:lineRule="auto"/>
        <w:rPr>
          <w:sz w:val="24"/>
          <w:szCs w:val="24"/>
          <w:lang w:eastAsia="en-GB"/>
        </w:rPr>
      </w:pPr>
    </w:p>
    <w:p w14:paraId="7A358DFA" w14:textId="77777777" w:rsidR="003F6630" w:rsidRDefault="00905F8B" w:rsidP="0084140E">
      <w:pPr>
        <w:spacing w:after="0" w:line="240" w:lineRule="auto"/>
        <w:rPr>
          <w:sz w:val="24"/>
          <w:szCs w:val="24"/>
          <w:lang w:eastAsia="en-GB"/>
        </w:rPr>
      </w:pPr>
      <w:r>
        <w:rPr>
          <w:sz w:val="24"/>
          <w:szCs w:val="24"/>
          <w:lang w:eastAsia="en-GB"/>
        </w:rPr>
        <w:t>As well as leading to underachievement at school, the impact of low literacy skills on individuals can be seen throughout their lifetime.</w:t>
      </w:r>
      <w:r w:rsidR="00022444">
        <w:rPr>
          <w:sz w:val="24"/>
          <w:szCs w:val="24"/>
          <w:lang w:eastAsia="en-GB"/>
        </w:rPr>
        <w:t xml:space="preserve"> </w:t>
      </w:r>
      <w:r w:rsidR="00662D30">
        <w:rPr>
          <w:sz w:val="24"/>
          <w:szCs w:val="24"/>
          <w:lang w:eastAsia="en-GB"/>
        </w:rPr>
        <w:t xml:space="preserve">Poor literacy can lead to unemployment: a study by the OECD found that the UK had the widest literacy gap between the unemployed </w:t>
      </w:r>
      <w:r w:rsidR="00662D30">
        <w:rPr>
          <w:sz w:val="24"/>
          <w:szCs w:val="24"/>
          <w:lang w:eastAsia="en-GB"/>
        </w:rPr>
        <w:lastRenderedPageBreak/>
        <w:t>and those in work out of 22 countries included in the analysis</w:t>
      </w:r>
      <w:r w:rsidR="00662D30">
        <w:rPr>
          <w:rStyle w:val="FootnoteReference"/>
          <w:sz w:val="24"/>
          <w:szCs w:val="24"/>
          <w:lang w:eastAsia="en-GB"/>
        </w:rPr>
        <w:footnoteReference w:id="67"/>
      </w:r>
      <w:r w:rsidR="001E2CA9">
        <w:rPr>
          <w:sz w:val="24"/>
          <w:szCs w:val="24"/>
          <w:lang w:eastAsia="en-GB"/>
        </w:rPr>
        <w:t>. Strong basic skills like literacy and numeracy are associated with higher rates of economic activity and a lower risk of unemployment</w:t>
      </w:r>
      <w:r w:rsidR="001E2CA9">
        <w:rPr>
          <w:rStyle w:val="FootnoteReference"/>
          <w:sz w:val="24"/>
          <w:szCs w:val="24"/>
          <w:lang w:eastAsia="en-GB"/>
        </w:rPr>
        <w:footnoteReference w:id="68"/>
      </w:r>
      <w:r w:rsidR="001E2CA9">
        <w:rPr>
          <w:sz w:val="24"/>
          <w:szCs w:val="24"/>
          <w:lang w:eastAsia="en-GB"/>
        </w:rPr>
        <w:t xml:space="preserve">. </w:t>
      </w:r>
      <w:r w:rsidR="00A01772">
        <w:rPr>
          <w:sz w:val="24"/>
          <w:szCs w:val="24"/>
          <w:lang w:eastAsia="en-GB"/>
        </w:rPr>
        <w:t xml:space="preserve">Our Literacy Changes Lives report </w:t>
      </w:r>
      <w:r w:rsidR="0077543D">
        <w:rPr>
          <w:sz w:val="24"/>
          <w:szCs w:val="24"/>
          <w:lang w:eastAsia="en-GB"/>
        </w:rPr>
        <w:t xml:space="preserve">also </w:t>
      </w:r>
      <w:r w:rsidR="00A01772">
        <w:rPr>
          <w:sz w:val="24"/>
          <w:szCs w:val="24"/>
          <w:lang w:eastAsia="en-GB"/>
        </w:rPr>
        <w:t>highlights the fact that low literacy is associated with low earnings</w:t>
      </w:r>
      <w:r w:rsidR="00A01772">
        <w:rPr>
          <w:rStyle w:val="FootnoteReference"/>
          <w:sz w:val="24"/>
          <w:szCs w:val="24"/>
          <w:lang w:eastAsia="en-GB"/>
        </w:rPr>
        <w:footnoteReference w:id="69"/>
      </w:r>
      <w:r w:rsidR="005C48AF">
        <w:rPr>
          <w:sz w:val="24"/>
          <w:szCs w:val="24"/>
          <w:lang w:eastAsia="en-GB"/>
        </w:rPr>
        <w:t xml:space="preserve">. </w:t>
      </w:r>
    </w:p>
    <w:p w14:paraId="2806E0F7" w14:textId="77777777" w:rsidR="003F6630" w:rsidRDefault="003F6630" w:rsidP="0084140E">
      <w:pPr>
        <w:spacing w:after="0" w:line="240" w:lineRule="auto"/>
        <w:rPr>
          <w:sz w:val="24"/>
          <w:szCs w:val="24"/>
          <w:lang w:eastAsia="en-GB"/>
        </w:rPr>
      </w:pPr>
    </w:p>
    <w:p w14:paraId="2C9548EF" w14:textId="47B6D2C1" w:rsidR="00662D30" w:rsidRDefault="005C48AF" w:rsidP="0084140E">
      <w:pPr>
        <w:spacing w:after="0" w:line="240" w:lineRule="auto"/>
        <w:rPr>
          <w:sz w:val="24"/>
          <w:szCs w:val="24"/>
          <w:lang w:eastAsia="en-GB"/>
        </w:rPr>
      </w:pPr>
      <w:r>
        <w:rPr>
          <w:sz w:val="24"/>
          <w:szCs w:val="24"/>
          <w:lang w:eastAsia="en-GB"/>
        </w:rPr>
        <w:t>A</w:t>
      </w:r>
      <w:r w:rsidR="00D920F6">
        <w:rPr>
          <w:sz w:val="24"/>
          <w:szCs w:val="24"/>
          <w:lang w:eastAsia="en-GB"/>
        </w:rPr>
        <w:t xml:space="preserve">n </w:t>
      </w:r>
      <w:r w:rsidR="004C58DA">
        <w:rPr>
          <w:sz w:val="24"/>
          <w:szCs w:val="24"/>
          <w:lang w:eastAsia="en-GB"/>
        </w:rPr>
        <w:t>evidence review</w:t>
      </w:r>
      <w:r w:rsidR="00D920F6">
        <w:rPr>
          <w:sz w:val="24"/>
          <w:szCs w:val="24"/>
          <w:lang w:eastAsia="en-GB"/>
        </w:rPr>
        <w:t xml:space="preserve"> that we carried out in 2018</w:t>
      </w:r>
      <w:r w:rsidR="000122FC">
        <w:rPr>
          <w:sz w:val="24"/>
          <w:szCs w:val="24"/>
          <w:lang w:eastAsia="en-GB"/>
        </w:rPr>
        <w:t xml:space="preserve"> found that those with low levels of literacy are also more likely to have poor health and engage in harmful behaviours</w:t>
      </w:r>
      <w:r w:rsidR="000122FC">
        <w:rPr>
          <w:rStyle w:val="FootnoteReference"/>
          <w:sz w:val="24"/>
          <w:szCs w:val="24"/>
          <w:lang w:eastAsia="en-GB"/>
        </w:rPr>
        <w:footnoteReference w:id="70"/>
      </w:r>
      <w:r w:rsidR="000122FC">
        <w:rPr>
          <w:sz w:val="24"/>
          <w:szCs w:val="24"/>
          <w:lang w:eastAsia="en-GB"/>
        </w:rPr>
        <w:t xml:space="preserve">. </w:t>
      </w:r>
      <w:r w:rsidR="0068603D">
        <w:rPr>
          <w:sz w:val="24"/>
          <w:szCs w:val="24"/>
          <w:lang w:eastAsia="en-GB"/>
        </w:rPr>
        <w:t>For example, low literacy is associated with worsening health limiting conditions, and increased smoking in men</w:t>
      </w:r>
      <w:r w:rsidR="0068603D">
        <w:rPr>
          <w:rStyle w:val="FootnoteReference"/>
          <w:sz w:val="24"/>
          <w:szCs w:val="24"/>
          <w:lang w:eastAsia="en-GB"/>
        </w:rPr>
        <w:footnoteReference w:id="71"/>
      </w:r>
      <w:r w:rsidR="00300403">
        <w:rPr>
          <w:sz w:val="24"/>
          <w:szCs w:val="24"/>
          <w:lang w:eastAsia="en-GB"/>
        </w:rPr>
        <w:t>, as well as lower levels of mental health</w:t>
      </w:r>
      <w:r w:rsidR="00300403">
        <w:rPr>
          <w:rStyle w:val="FootnoteReference"/>
          <w:sz w:val="24"/>
          <w:szCs w:val="24"/>
          <w:lang w:eastAsia="en-GB"/>
        </w:rPr>
        <w:footnoteReference w:id="72"/>
      </w:r>
      <w:r w:rsidR="0068603D">
        <w:rPr>
          <w:sz w:val="24"/>
          <w:szCs w:val="24"/>
          <w:lang w:eastAsia="en-GB"/>
        </w:rPr>
        <w:t>.</w:t>
      </w:r>
      <w:r w:rsidR="0027527A">
        <w:rPr>
          <w:sz w:val="24"/>
          <w:szCs w:val="24"/>
          <w:lang w:eastAsia="en-GB"/>
        </w:rPr>
        <w:t xml:space="preserve"> Those who are at the highest risk of poor health, such as those with low-income or low status jobs, are more likely to have low health literacy</w:t>
      </w:r>
      <w:r w:rsidR="00C16CFE">
        <w:rPr>
          <w:rStyle w:val="FootnoteReference"/>
          <w:sz w:val="24"/>
          <w:szCs w:val="24"/>
          <w:lang w:eastAsia="en-GB"/>
        </w:rPr>
        <w:footnoteReference w:id="73"/>
      </w:r>
      <w:r w:rsidR="00C16CFE">
        <w:rPr>
          <w:sz w:val="24"/>
          <w:szCs w:val="24"/>
          <w:lang w:eastAsia="en-GB"/>
        </w:rPr>
        <w:t>, making it difficult for them to access health services effectively and understand information available to them</w:t>
      </w:r>
      <w:r w:rsidR="0027527A">
        <w:rPr>
          <w:sz w:val="24"/>
          <w:szCs w:val="24"/>
          <w:lang w:eastAsia="en-GB"/>
        </w:rPr>
        <w:t xml:space="preserve">. </w:t>
      </w:r>
      <w:r w:rsidR="00FD3070">
        <w:rPr>
          <w:sz w:val="24"/>
          <w:szCs w:val="24"/>
          <w:lang w:eastAsia="en-GB"/>
        </w:rPr>
        <w:t>Poor literacy exacerbates risk factors associated with offending behaviour</w:t>
      </w:r>
      <w:r w:rsidR="00C24FEE">
        <w:rPr>
          <w:sz w:val="24"/>
          <w:szCs w:val="24"/>
          <w:lang w:eastAsia="en-GB"/>
        </w:rPr>
        <w:t>: for example, negative experiences at school can lead to youth crime</w:t>
      </w:r>
      <w:r w:rsidR="00296444">
        <w:rPr>
          <w:rStyle w:val="FootnoteReference"/>
          <w:sz w:val="24"/>
          <w:szCs w:val="24"/>
          <w:lang w:eastAsia="en-GB"/>
        </w:rPr>
        <w:footnoteReference w:id="74"/>
      </w:r>
      <w:r w:rsidR="00C24FEE">
        <w:rPr>
          <w:sz w:val="24"/>
          <w:szCs w:val="24"/>
          <w:lang w:eastAsia="en-GB"/>
        </w:rPr>
        <w:t>, and those with poor literacy are more likely to be excluded from school</w:t>
      </w:r>
      <w:r w:rsidR="00E803D2">
        <w:rPr>
          <w:sz w:val="24"/>
          <w:szCs w:val="24"/>
          <w:lang w:eastAsia="en-GB"/>
        </w:rPr>
        <w:t>.</w:t>
      </w:r>
      <w:r w:rsidR="00D53C64">
        <w:rPr>
          <w:sz w:val="24"/>
          <w:szCs w:val="24"/>
          <w:lang w:eastAsia="en-GB"/>
        </w:rPr>
        <w:t xml:space="preserve"> </w:t>
      </w:r>
      <w:r w:rsidR="00E803D2">
        <w:rPr>
          <w:sz w:val="24"/>
          <w:szCs w:val="24"/>
          <w:lang w:eastAsia="en-GB"/>
        </w:rPr>
        <w:t>Poor literacy is prevalent amongst the prison population: nearly half of prisoners have a reading age below the level of an 11 year old</w:t>
      </w:r>
      <w:r w:rsidR="00E803D2">
        <w:rPr>
          <w:rStyle w:val="FootnoteReference"/>
          <w:sz w:val="24"/>
          <w:szCs w:val="24"/>
          <w:lang w:eastAsia="en-GB"/>
        </w:rPr>
        <w:footnoteReference w:id="75"/>
      </w:r>
      <w:r w:rsidR="00E803D2">
        <w:rPr>
          <w:sz w:val="24"/>
          <w:szCs w:val="24"/>
          <w:lang w:eastAsia="en-GB"/>
        </w:rPr>
        <w:t xml:space="preserve">. </w:t>
      </w:r>
      <w:r w:rsidR="0064688E">
        <w:rPr>
          <w:sz w:val="24"/>
          <w:szCs w:val="24"/>
          <w:lang w:eastAsia="en-GB"/>
        </w:rPr>
        <w:t>Literacy is also linked to life expectancy: p</w:t>
      </w:r>
      <w:r w:rsidR="000122FC">
        <w:rPr>
          <w:sz w:val="24"/>
          <w:szCs w:val="24"/>
          <w:lang w:eastAsia="en-GB"/>
        </w:rPr>
        <w:t xml:space="preserve">eople with poor literacy skills have low incomes, are more likely to be unemployed, and have poor health behaviours: all factors which can be linked to </w:t>
      </w:r>
      <w:r w:rsidR="0064688E">
        <w:rPr>
          <w:sz w:val="24"/>
          <w:szCs w:val="24"/>
          <w:lang w:eastAsia="en-GB"/>
        </w:rPr>
        <w:t>mortality</w:t>
      </w:r>
      <w:r w:rsidR="002B6FA2">
        <w:rPr>
          <w:rStyle w:val="FootnoteReference"/>
          <w:sz w:val="24"/>
          <w:szCs w:val="24"/>
          <w:lang w:eastAsia="en-GB"/>
        </w:rPr>
        <w:footnoteReference w:id="76"/>
      </w:r>
      <w:r w:rsidR="000122FC">
        <w:rPr>
          <w:sz w:val="24"/>
          <w:szCs w:val="24"/>
          <w:lang w:eastAsia="en-GB"/>
        </w:rPr>
        <w:t xml:space="preserve">. </w:t>
      </w:r>
    </w:p>
    <w:p w14:paraId="77CCE693" w14:textId="0AB69742" w:rsidR="003F6630" w:rsidRDefault="003F6630" w:rsidP="0084140E">
      <w:pPr>
        <w:spacing w:after="0" w:line="240" w:lineRule="auto"/>
        <w:rPr>
          <w:sz w:val="24"/>
          <w:szCs w:val="24"/>
          <w:lang w:eastAsia="en-GB"/>
        </w:rPr>
      </w:pPr>
    </w:p>
    <w:p w14:paraId="6ACA0A1E" w14:textId="77777777" w:rsidR="00542F77" w:rsidRPr="00542F77" w:rsidRDefault="00542F77" w:rsidP="0084140E">
      <w:pPr>
        <w:spacing w:after="0" w:line="240" w:lineRule="auto"/>
        <w:rPr>
          <w:b/>
          <w:bCs/>
          <w:sz w:val="24"/>
          <w:szCs w:val="24"/>
          <w:lang w:eastAsia="en-GB"/>
        </w:rPr>
      </w:pPr>
      <w:r w:rsidRPr="00542F77">
        <w:rPr>
          <w:b/>
          <w:bCs/>
          <w:sz w:val="24"/>
          <w:szCs w:val="24"/>
          <w:lang w:eastAsia="en-GB"/>
        </w:rPr>
        <w:t>Priorities for the Government in terms of tackling this issue, with reference to:</w:t>
      </w:r>
    </w:p>
    <w:p w14:paraId="33B88905" w14:textId="7C5E5A26" w:rsidR="003144F3" w:rsidRDefault="00542F77" w:rsidP="003144F3">
      <w:pPr>
        <w:pStyle w:val="ListParagraph"/>
        <w:numPr>
          <w:ilvl w:val="0"/>
          <w:numId w:val="6"/>
        </w:numPr>
        <w:spacing w:after="0" w:line="240" w:lineRule="auto"/>
        <w:rPr>
          <w:b/>
          <w:bCs/>
          <w:szCs w:val="24"/>
          <w:lang w:eastAsia="en-GB"/>
        </w:rPr>
      </w:pPr>
      <w:r w:rsidRPr="00542F77">
        <w:rPr>
          <w:b/>
          <w:bCs/>
          <w:szCs w:val="24"/>
          <w:lang w:eastAsia="en-GB"/>
        </w:rPr>
        <w:t xml:space="preserve">The value of locally-tailored solutions, including youth groups and community organisations </w:t>
      </w:r>
    </w:p>
    <w:p w14:paraId="4AB5595E" w14:textId="68B9196A" w:rsidR="003144F3" w:rsidRDefault="003144F3" w:rsidP="003144F3">
      <w:pPr>
        <w:spacing w:after="0" w:line="240" w:lineRule="auto"/>
        <w:rPr>
          <w:b/>
          <w:bCs/>
          <w:szCs w:val="24"/>
          <w:lang w:eastAsia="en-GB"/>
        </w:rPr>
      </w:pPr>
    </w:p>
    <w:p w14:paraId="40BA8F50" w14:textId="585F2B00" w:rsidR="003144F3" w:rsidRDefault="0075223E" w:rsidP="003144F3">
      <w:pPr>
        <w:tabs>
          <w:tab w:val="left" w:pos="1980"/>
        </w:tabs>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Locally tailored solutions</w:t>
      </w:r>
      <w:r w:rsidR="009565FA">
        <w:rPr>
          <w:rFonts w:eastAsia="Times New Roman" w:cstheme="minorHAnsi"/>
          <w:color w:val="000000"/>
          <w:sz w:val="24"/>
          <w:szCs w:val="24"/>
          <w:lang w:eastAsia="en-GB"/>
        </w:rPr>
        <w:t xml:space="preserve"> are valuable in that they</w:t>
      </w:r>
      <w:r>
        <w:rPr>
          <w:rFonts w:eastAsia="Times New Roman" w:cstheme="minorHAnsi"/>
          <w:color w:val="000000"/>
          <w:sz w:val="24"/>
          <w:szCs w:val="24"/>
          <w:lang w:eastAsia="en-GB"/>
        </w:rPr>
        <w:t xml:space="preserve"> </w:t>
      </w:r>
      <w:r w:rsidRPr="003144F3">
        <w:rPr>
          <w:rFonts w:eastAsia="Times New Roman" w:cstheme="minorHAnsi"/>
          <w:color w:val="000000"/>
          <w:sz w:val="24"/>
          <w:szCs w:val="24"/>
          <w:lang w:eastAsia="en-GB"/>
        </w:rPr>
        <w:t>pay attention to geographical diversity and different socio-economic, political, and funding contexts</w:t>
      </w:r>
      <w:r>
        <w:rPr>
          <w:rFonts w:eastAsia="Times New Roman" w:cstheme="minorHAnsi"/>
          <w:color w:val="000000"/>
          <w:sz w:val="24"/>
          <w:szCs w:val="24"/>
          <w:lang w:eastAsia="en-GB"/>
        </w:rPr>
        <w:t xml:space="preserve">. </w:t>
      </w:r>
      <w:r w:rsidR="003144F3" w:rsidRPr="003144F3">
        <w:rPr>
          <w:rFonts w:eastAsia="Times New Roman" w:cstheme="minorHAnsi"/>
          <w:color w:val="000000"/>
          <w:sz w:val="24"/>
          <w:szCs w:val="24"/>
          <w:lang w:eastAsia="en-GB"/>
        </w:rPr>
        <w:t>Different local areas have different local needs: each town, city and region has a different demographic make-up and ways of working, and interventions should reflect those differences</w:t>
      </w:r>
      <w:r w:rsidR="004F2435">
        <w:rPr>
          <w:rFonts w:eastAsia="Times New Roman" w:cstheme="minorHAnsi"/>
          <w:color w:val="000000"/>
          <w:sz w:val="24"/>
          <w:szCs w:val="24"/>
          <w:lang w:eastAsia="en-GB"/>
        </w:rPr>
        <w:t xml:space="preserve">. </w:t>
      </w:r>
      <w:r w:rsidR="00986712">
        <w:rPr>
          <w:rFonts w:eastAsia="Times New Roman" w:cstheme="minorHAnsi"/>
          <w:color w:val="000000"/>
          <w:sz w:val="24"/>
          <w:szCs w:val="24"/>
          <w:lang w:eastAsia="en-GB"/>
        </w:rPr>
        <w:t xml:space="preserve">Research suggests that </w:t>
      </w:r>
      <w:r w:rsidR="003144F3" w:rsidRPr="003144F3">
        <w:rPr>
          <w:rFonts w:eastAsia="Times New Roman" w:cstheme="minorHAnsi"/>
          <w:color w:val="000000"/>
          <w:sz w:val="24"/>
          <w:szCs w:val="24"/>
          <w:lang w:eastAsia="en-GB"/>
        </w:rPr>
        <w:t xml:space="preserve">stand-alone policies and ‘one size fits all’ </w:t>
      </w:r>
      <w:r w:rsidR="00986712">
        <w:rPr>
          <w:rFonts w:eastAsia="Times New Roman" w:cstheme="minorHAnsi"/>
          <w:color w:val="000000"/>
          <w:sz w:val="24"/>
          <w:szCs w:val="24"/>
          <w:lang w:eastAsia="en-GB"/>
        </w:rPr>
        <w:t>models are not always effective</w:t>
      </w:r>
      <w:r w:rsidR="004F2435">
        <w:rPr>
          <w:rFonts w:eastAsia="Times New Roman" w:cstheme="minorHAnsi"/>
          <w:color w:val="000000"/>
          <w:sz w:val="24"/>
          <w:szCs w:val="24"/>
          <w:lang w:eastAsia="en-GB"/>
        </w:rPr>
        <w:t>, and that national</w:t>
      </w:r>
      <w:r w:rsidR="003144F3" w:rsidRPr="003144F3">
        <w:rPr>
          <w:rFonts w:eastAsia="Times New Roman" w:cstheme="minorHAnsi"/>
          <w:color w:val="000000"/>
          <w:sz w:val="24"/>
          <w:szCs w:val="24"/>
          <w:lang w:eastAsia="en-GB"/>
        </w:rPr>
        <w:t xml:space="preserve"> strategies for improving children’s outcomes </w:t>
      </w:r>
      <w:r w:rsidR="004F2435">
        <w:rPr>
          <w:rFonts w:eastAsia="Times New Roman" w:cstheme="minorHAnsi"/>
          <w:color w:val="000000"/>
          <w:sz w:val="24"/>
          <w:szCs w:val="24"/>
          <w:lang w:eastAsia="en-GB"/>
        </w:rPr>
        <w:t>should be</w:t>
      </w:r>
      <w:r w:rsidR="003144F3" w:rsidRPr="003144F3">
        <w:rPr>
          <w:rFonts w:eastAsia="Times New Roman" w:cstheme="minorHAnsi"/>
          <w:color w:val="000000"/>
          <w:sz w:val="24"/>
          <w:szCs w:val="24"/>
          <w:lang w:eastAsia="en-GB"/>
        </w:rPr>
        <w:t xml:space="preserve"> supplemented by local area approaches</w:t>
      </w:r>
      <w:r w:rsidR="00756BC9">
        <w:rPr>
          <w:rStyle w:val="FootnoteReference"/>
          <w:rFonts w:eastAsia="Times New Roman" w:cstheme="minorHAnsi"/>
          <w:color w:val="000000"/>
          <w:sz w:val="24"/>
          <w:szCs w:val="24"/>
          <w:lang w:eastAsia="en-GB"/>
        </w:rPr>
        <w:footnoteReference w:id="77"/>
      </w:r>
      <w:r w:rsidR="0088276F">
        <w:rPr>
          <w:rFonts w:eastAsia="Times New Roman" w:cstheme="minorHAnsi"/>
          <w:color w:val="000000"/>
          <w:sz w:val="24"/>
          <w:szCs w:val="24"/>
          <w:lang w:eastAsia="en-GB"/>
        </w:rPr>
        <w:t>.</w:t>
      </w:r>
    </w:p>
    <w:p w14:paraId="5BBD6959" w14:textId="71D40A63" w:rsidR="005905A6" w:rsidRDefault="005905A6" w:rsidP="003144F3">
      <w:pPr>
        <w:tabs>
          <w:tab w:val="left" w:pos="1980"/>
        </w:tabs>
        <w:spacing w:after="0" w:line="240" w:lineRule="auto"/>
        <w:rPr>
          <w:rFonts w:eastAsia="Times New Roman" w:cstheme="minorHAnsi"/>
          <w:color w:val="000000"/>
          <w:sz w:val="24"/>
          <w:szCs w:val="24"/>
          <w:lang w:eastAsia="en-GB"/>
        </w:rPr>
      </w:pPr>
    </w:p>
    <w:p w14:paraId="336A247B" w14:textId="7F19FC20" w:rsidR="00E24DE0" w:rsidRDefault="005905A6" w:rsidP="003144F3">
      <w:pPr>
        <w:tabs>
          <w:tab w:val="left" w:pos="1980"/>
        </w:tabs>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Locally tailored solutions are </w:t>
      </w:r>
      <w:r w:rsidR="003767B9">
        <w:rPr>
          <w:rFonts w:eastAsia="Times New Roman" w:cstheme="minorHAnsi"/>
          <w:color w:val="000000"/>
          <w:sz w:val="24"/>
          <w:szCs w:val="24"/>
          <w:lang w:eastAsia="en-GB"/>
        </w:rPr>
        <w:t xml:space="preserve">also </w:t>
      </w:r>
      <w:r>
        <w:rPr>
          <w:rFonts w:eastAsia="Times New Roman" w:cstheme="minorHAnsi"/>
          <w:color w:val="000000"/>
          <w:sz w:val="24"/>
          <w:szCs w:val="24"/>
          <w:lang w:eastAsia="en-GB"/>
        </w:rPr>
        <w:t xml:space="preserve">valuable in that they often </w:t>
      </w:r>
      <w:r w:rsidRPr="005905A6">
        <w:rPr>
          <w:rFonts w:eastAsia="Times New Roman" w:cstheme="minorHAnsi"/>
          <w:color w:val="000000"/>
          <w:sz w:val="24"/>
          <w:szCs w:val="24"/>
          <w:lang w:eastAsia="en-GB"/>
        </w:rPr>
        <w:t>bring cross-sector organisations together to address the underlying causes of complex social problems in a more holistic and joined-up way.</w:t>
      </w:r>
      <w:r w:rsidR="00023477">
        <w:rPr>
          <w:rFonts w:eastAsia="Times New Roman" w:cstheme="minorHAnsi"/>
          <w:color w:val="000000"/>
          <w:sz w:val="24"/>
          <w:szCs w:val="24"/>
          <w:lang w:eastAsia="en-GB"/>
        </w:rPr>
        <w:t xml:space="preserve"> </w:t>
      </w:r>
      <w:r w:rsidR="00023477" w:rsidRPr="00023477">
        <w:rPr>
          <w:rFonts w:eastAsia="Times New Roman" w:cstheme="minorHAnsi"/>
          <w:color w:val="000000"/>
          <w:sz w:val="24"/>
          <w:szCs w:val="24"/>
          <w:lang w:eastAsia="en-GB"/>
        </w:rPr>
        <w:t xml:space="preserve">Even the most successful education policy interventions can only reduce and </w:t>
      </w:r>
      <w:r w:rsidR="00023477" w:rsidRPr="00023477">
        <w:rPr>
          <w:rFonts w:eastAsia="Times New Roman" w:cstheme="minorHAnsi"/>
          <w:color w:val="000000"/>
          <w:sz w:val="24"/>
          <w:szCs w:val="24"/>
          <w:lang w:eastAsia="en-GB"/>
        </w:rPr>
        <w:lastRenderedPageBreak/>
        <w:t>not eliminate disparities in educational outcomes when working in isolation</w:t>
      </w:r>
      <w:r w:rsidR="0075223E">
        <w:rPr>
          <w:rStyle w:val="FootnoteReference"/>
          <w:rFonts w:eastAsia="Times New Roman" w:cstheme="minorHAnsi"/>
          <w:color w:val="000000"/>
          <w:sz w:val="24"/>
          <w:szCs w:val="24"/>
          <w:lang w:eastAsia="en-GB"/>
        </w:rPr>
        <w:footnoteReference w:id="78"/>
      </w:r>
      <w:r w:rsidR="003767B9">
        <w:rPr>
          <w:rFonts w:eastAsia="Times New Roman" w:cstheme="minorHAnsi"/>
          <w:color w:val="000000"/>
          <w:sz w:val="24"/>
          <w:szCs w:val="24"/>
          <w:lang w:eastAsia="en-GB"/>
        </w:rPr>
        <w:t xml:space="preserve">. </w:t>
      </w:r>
      <w:r w:rsidR="003767B9" w:rsidRPr="003767B9">
        <w:rPr>
          <w:rFonts w:eastAsia="Times New Roman" w:cstheme="minorHAnsi"/>
          <w:color w:val="000000"/>
          <w:sz w:val="24"/>
          <w:szCs w:val="24"/>
          <w:lang w:eastAsia="en-GB"/>
        </w:rPr>
        <w:t>Addressing disadvantage in one area of a child’s life (such as education) can be easily undermined by neglecting another (such as health)</w:t>
      </w:r>
      <w:r w:rsidR="0075223E">
        <w:rPr>
          <w:rStyle w:val="FootnoteReference"/>
          <w:rFonts w:eastAsia="Times New Roman" w:cstheme="minorHAnsi"/>
          <w:color w:val="000000"/>
          <w:sz w:val="24"/>
          <w:szCs w:val="24"/>
          <w:lang w:eastAsia="en-GB"/>
        </w:rPr>
        <w:footnoteReference w:id="79"/>
      </w:r>
      <w:r w:rsidR="007222BB">
        <w:rPr>
          <w:rFonts w:eastAsia="Times New Roman" w:cstheme="minorHAnsi"/>
          <w:color w:val="000000"/>
          <w:sz w:val="24"/>
          <w:szCs w:val="24"/>
          <w:lang w:eastAsia="en-GB"/>
        </w:rPr>
        <w:t xml:space="preserve">. Many families face </w:t>
      </w:r>
      <w:r w:rsidR="007222BB" w:rsidRPr="007222BB">
        <w:rPr>
          <w:rFonts w:eastAsia="Times New Roman" w:cstheme="minorHAnsi"/>
          <w:color w:val="000000"/>
          <w:sz w:val="24"/>
          <w:szCs w:val="24"/>
          <w:lang w:eastAsia="en-GB"/>
        </w:rPr>
        <w:t>diverse and interconnected challenges that</w:t>
      </w:r>
      <w:r w:rsidR="007222BB">
        <w:rPr>
          <w:rFonts w:eastAsia="Times New Roman" w:cstheme="minorHAnsi"/>
          <w:color w:val="000000"/>
          <w:sz w:val="24"/>
          <w:szCs w:val="24"/>
          <w:lang w:eastAsia="en-GB"/>
        </w:rPr>
        <w:t xml:space="preserve"> </w:t>
      </w:r>
      <w:r w:rsidR="00E24DE0">
        <w:rPr>
          <w:rFonts w:eastAsia="Times New Roman" w:cstheme="minorHAnsi"/>
          <w:color w:val="000000"/>
          <w:sz w:val="24"/>
          <w:szCs w:val="24"/>
          <w:lang w:eastAsia="en-GB"/>
        </w:rPr>
        <w:t xml:space="preserve">may </w:t>
      </w:r>
      <w:r w:rsidR="007222BB">
        <w:rPr>
          <w:rFonts w:eastAsia="Times New Roman" w:cstheme="minorHAnsi"/>
          <w:color w:val="000000"/>
          <w:sz w:val="24"/>
          <w:szCs w:val="24"/>
          <w:lang w:eastAsia="en-GB"/>
        </w:rPr>
        <w:t>be addressed more effective</w:t>
      </w:r>
      <w:r w:rsidR="00E24DE0">
        <w:rPr>
          <w:rFonts w:eastAsia="Times New Roman" w:cstheme="minorHAnsi"/>
          <w:color w:val="000000"/>
          <w:sz w:val="24"/>
          <w:szCs w:val="24"/>
          <w:lang w:eastAsia="en-GB"/>
        </w:rPr>
        <w:t>ly</w:t>
      </w:r>
      <w:r w:rsidR="007222BB">
        <w:rPr>
          <w:rFonts w:eastAsia="Times New Roman" w:cstheme="minorHAnsi"/>
          <w:color w:val="000000"/>
          <w:sz w:val="24"/>
          <w:szCs w:val="24"/>
          <w:lang w:eastAsia="en-GB"/>
        </w:rPr>
        <w:t xml:space="preserve"> when local organisations come together, combining their insights, knowledge and strengths. </w:t>
      </w:r>
      <w:r w:rsidR="001B07A2">
        <w:rPr>
          <w:rFonts w:eastAsia="Times New Roman" w:cstheme="minorHAnsi"/>
          <w:color w:val="000000"/>
          <w:sz w:val="24"/>
          <w:szCs w:val="24"/>
          <w:lang w:eastAsia="en-GB"/>
        </w:rPr>
        <w:t xml:space="preserve">The rationale for locally tailored solutions is that it is more beneficial to focus on the whole community rather than disadvantage at the individual level. </w:t>
      </w:r>
    </w:p>
    <w:p w14:paraId="22EA4B77" w14:textId="77777777" w:rsidR="00170708" w:rsidRDefault="00170708" w:rsidP="003144F3">
      <w:pPr>
        <w:tabs>
          <w:tab w:val="left" w:pos="1980"/>
        </w:tabs>
        <w:spacing w:after="0" w:line="240" w:lineRule="auto"/>
        <w:rPr>
          <w:rFonts w:eastAsia="Times New Roman" w:cstheme="minorHAnsi"/>
          <w:color w:val="000000"/>
          <w:sz w:val="24"/>
          <w:szCs w:val="24"/>
          <w:lang w:eastAsia="en-GB"/>
        </w:rPr>
      </w:pPr>
    </w:p>
    <w:p w14:paraId="2D441E74" w14:textId="62456F0A" w:rsidR="00E24DE0" w:rsidRDefault="00E24DE0" w:rsidP="003144F3">
      <w:pPr>
        <w:tabs>
          <w:tab w:val="left" w:pos="1980"/>
        </w:tabs>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The National Literacy Trust has been developing a place-based approach to literacy </w:t>
      </w:r>
      <w:r w:rsidR="007D3379">
        <w:rPr>
          <w:rFonts w:eastAsia="Times New Roman" w:cstheme="minorHAnsi"/>
          <w:color w:val="000000"/>
          <w:sz w:val="24"/>
          <w:szCs w:val="24"/>
          <w:lang w:eastAsia="en-GB"/>
        </w:rPr>
        <w:t>for over 10 years.</w:t>
      </w:r>
      <w:r w:rsidR="002D1C16">
        <w:rPr>
          <w:rFonts w:eastAsia="Times New Roman" w:cstheme="minorHAnsi"/>
          <w:color w:val="000000"/>
          <w:sz w:val="24"/>
          <w:szCs w:val="24"/>
          <w:lang w:eastAsia="en-GB"/>
        </w:rPr>
        <w:t xml:space="preserve"> </w:t>
      </w:r>
      <w:r w:rsidR="00FF00CE">
        <w:rPr>
          <w:rFonts w:eastAsia="Times New Roman" w:cstheme="minorHAnsi"/>
          <w:color w:val="000000"/>
          <w:sz w:val="24"/>
          <w:szCs w:val="24"/>
          <w:lang w:eastAsia="en-GB"/>
        </w:rPr>
        <w:t>By</w:t>
      </w:r>
      <w:r w:rsidR="002D1C16">
        <w:rPr>
          <w:rFonts w:eastAsia="Times New Roman" w:cstheme="minorHAnsi"/>
          <w:color w:val="000000"/>
          <w:sz w:val="24"/>
          <w:szCs w:val="24"/>
          <w:lang w:eastAsia="en-GB"/>
        </w:rPr>
        <w:t xml:space="preserve"> taking coordinated action at a local level to drive up literacy levels, we </w:t>
      </w:r>
      <w:r w:rsidR="00FF00CE">
        <w:rPr>
          <w:rFonts w:eastAsia="Times New Roman" w:cstheme="minorHAnsi"/>
          <w:color w:val="000000"/>
          <w:sz w:val="24"/>
          <w:szCs w:val="24"/>
          <w:lang w:eastAsia="en-GB"/>
        </w:rPr>
        <w:t xml:space="preserve">aim to </w:t>
      </w:r>
      <w:r w:rsidR="002D1C16">
        <w:rPr>
          <w:rFonts w:eastAsia="Times New Roman" w:cstheme="minorHAnsi"/>
          <w:color w:val="000000"/>
          <w:sz w:val="24"/>
          <w:szCs w:val="24"/>
          <w:lang w:eastAsia="en-GB"/>
        </w:rPr>
        <w:t xml:space="preserve">support increased educational attainment and employability skills, and improve health outcomes and social capital. </w:t>
      </w:r>
      <w:r w:rsidR="00444466">
        <w:rPr>
          <w:rFonts w:eastAsia="Times New Roman" w:cstheme="minorHAnsi"/>
          <w:color w:val="000000"/>
          <w:sz w:val="24"/>
          <w:szCs w:val="24"/>
          <w:lang w:eastAsia="en-GB"/>
        </w:rPr>
        <w:t>Our</w:t>
      </w:r>
      <w:r w:rsidR="00DA1433">
        <w:rPr>
          <w:rFonts w:eastAsia="Times New Roman" w:cstheme="minorHAnsi"/>
          <w:color w:val="000000"/>
          <w:sz w:val="24"/>
          <w:szCs w:val="24"/>
          <w:lang w:eastAsia="en-GB"/>
        </w:rPr>
        <w:t xml:space="preserve"> 14</w:t>
      </w:r>
      <w:r w:rsidR="00444466">
        <w:rPr>
          <w:rFonts w:eastAsia="Times New Roman" w:cstheme="minorHAnsi"/>
          <w:color w:val="000000"/>
          <w:sz w:val="24"/>
          <w:szCs w:val="24"/>
          <w:lang w:eastAsia="en-GB"/>
        </w:rPr>
        <w:t xml:space="preserve"> National Literacy Trust Hubs, created in areas where </w:t>
      </w:r>
      <w:r w:rsidR="00DE3F79">
        <w:rPr>
          <w:rFonts w:eastAsia="Times New Roman" w:cstheme="minorHAnsi"/>
          <w:color w:val="000000"/>
          <w:sz w:val="24"/>
          <w:szCs w:val="24"/>
          <w:lang w:eastAsia="en-GB"/>
        </w:rPr>
        <w:t>there is the greatest need</w:t>
      </w:r>
      <w:r w:rsidR="00444466">
        <w:rPr>
          <w:rFonts w:eastAsia="Times New Roman" w:cstheme="minorHAnsi"/>
          <w:color w:val="000000"/>
          <w:sz w:val="24"/>
          <w:szCs w:val="24"/>
          <w:lang w:eastAsia="en-GB"/>
        </w:rPr>
        <w:t>, bring together local authorities, libraries, sporting and cultural organisations, faith and voluntary community groups, businesses, health and education organisations</w:t>
      </w:r>
      <w:r w:rsidR="00CF79D7">
        <w:rPr>
          <w:rFonts w:eastAsia="Times New Roman" w:cstheme="minorHAnsi"/>
          <w:color w:val="000000"/>
          <w:sz w:val="24"/>
          <w:szCs w:val="24"/>
          <w:lang w:eastAsia="en-GB"/>
        </w:rPr>
        <w:t xml:space="preserve"> to run a combination of educational programmes and </w:t>
      </w:r>
      <w:r w:rsidR="00BE2E17">
        <w:rPr>
          <w:rFonts w:eastAsia="Times New Roman" w:cstheme="minorHAnsi"/>
          <w:color w:val="000000"/>
          <w:sz w:val="24"/>
          <w:szCs w:val="24"/>
          <w:lang w:eastAsia="en-GB"/>
        </w:rPr>
        <w:t>media</w:t>
      </w:r>
      <w:r w:rsidR="00CF79D7">
        <w:rPr>
          <w:rFonts w:eastAsia="Times New Roman" w:cstheme="minorHAnsi"/>
          <w:color w:val="000000"/>
          <w:sz w:val="24"/>
          <w:szCs w:val="24"/>
          <w:lang w:eastAsia="en-GB"/>
        </w:rPr>
        <w:t xml:space="preserve"> campaigns</w:t>
      </w:r>
      <w:r w:rsidR="000B2D42">
        <w:rPr>
          <w:rFonts w:eastAsia="Times New Roman" w:cstheme="minorHAnsi"/>
          <w:color w:val="000000"/>
          <w:sz w:val="24"/>
          <w:szCs w:val="24"/>
          <w:lang w:eastAsia="en-GB"/>
        </w:rPr>
        <w:t>, to raise literacy levels among the hardest to engage</w:t>
      </w:r>
      <w:r w:rsidR="00444466">
        <w:rPr>
          <w:rFonts w:eastAsia="Times New Roman" w:cstheme="minorHAnsi"/>
          <w:color w:val="000000"/>
          <w:sz w:val="24"/>
          <w:szCs w:val="24"/>
          <w:lang w:eastAsia="en-GB"/>
        </w:rPr>
        <w:t xml:space="preserve">. </w:t>
      </w:r>
      <w:r w:rsidR="008E6DA9">
        <w:rPr>
          <w:rFonts w:eastAsia="Times New Roman" w:cstheme="minorHAnsi"/>
          <w:color w:val="000000"/>
          <w:sz w:val="24"/>
          <w:szCs w:val="24"/>
          <w:lang w:eastAsia="en-GB"/>
        </w:rPr>
        <w:t xml:space="preserve">By co-creating programmes and campaigns in partnership with a range of local organisations, we </w:t>
      </w:r>
      <w:r w:rsidR="00525049">
        <w:rPr>
          <w:rFonts w:eastAsia="Times New Roman" w:cstheme="minorHAnsi"/>
          <w:color w:val="000000"/>
          <w:sz w:val="24"/>
          <w:szCs w:val="24"/>
          <w:lang w:eastAsia="en-GB"/>
        </w:rPr>
        <w:t xml:space="preserve">are able to </w:t>
      </w:r>
      <w:r w:rsidR="00EE4883">
        <w:rPr>
          <w:rFonts w:eastAsia="Times New Roman" w:cstheme="minorHAnsi"/>
          <w:color w:val="000000"/>
          <w:sz w:val="24"/>
          <w:szCs w:val="24"/>
          <w:lang w:eastAsia="en-GB"/>
        </w:rPr>
        <w:t>assess the literacy needs and assets of the community</w:t>
      </w:r>
      <w:r w:rsidR="0051554D">
        <w:rPr>
          <w:rFonts w:eastAsia="Times New Roman" w:cstheme="minorHAnsi"/>
          <w:color w:val="000000"/>
          <w:sz w:val="24"/>
          <w:szCs w:val="24"/>
          <w:lang w:eastAsia="en-GB"/>
        </w:rPr>
        <w:t xml:space="preserve">, </w:t>
      </w:r>
      <w:r w:rsidR="00F276CA">
        <w:rPr>
          <w:rFonts w:eastAsia="Times New Roman" w:cstheme="minorHAnsi"/>
          <w:color w:val="000000"/>
          <w:sz w:val="24"/>
          <w:szCs w:val="24"/>
          <w:lang w:eastAsia="en-GB"/>
        </w:rPr>
        <w:t xml:space="preserve">and </w:t>
      </w:r>
      <w:r w:rsidR="0051554D">
        <w:rPr>
          <w:rFonts w:eastAsia="Times New Roman" w:cstheme="minorHAnsi"/>
          <w:color w:val="000000"/>
          <w:sz w:val="24"/>
          <w:szCs w:val="24"/>
          <w:lang w:eastAsia="en-GB"/>
        </w:rPr>
        <w:t xml:space="preserve">develop bespoke solutions to the </w:t>
      </w:r>
      <w:r w:rsidR="00525049">
        <w:rPr>
          <w:rFonts w:eastAsia="Times New Roman" w:cstheme="minorHAnsi"/>
          <w:color w:val="000000"/>
          <w:sz w:val="24"/>
          <w:szCs w:val="24"/>
          <w:lang w:eastAsia="en-GB"/>
        </w:rPr>
        <w:t xml:space="preserve">specific </w:t>
      </w:r>
      <w:r w:rsidR="0051554D">
        <w:rPr>
          <w:rFonts w:eastAsia="Times New Roman" w:cstheme="minorHAnsi"/>
          <w:color w:val="000000"/>
          <w:sz w:val="24"/>
          <w:szCs w:val="24"/>
          <w:lang w:eastAsia="en-GB"/>
        </w:rPr>
        <w:t>literacy challenges</w:t>
      </w:r>
      <w:r w:rsidR="00525049">
        <w:rPr>
          <w:rFonts w:eastAsia="Times New Roman" w:cstheme="minorHAnsi"/>
          <w:color w:val="000000"/>
          <w:sz w:val="24"/>
          <w:szCs w:val="24"/>
          <w:lang w:eastAsia="en-GB"/>
        </w:rPr>
        <w:t xml:space="preserve"> that</w:t>
      </w:r>
      <w:r w:rsidR="0051554D">
        <w:rPr>
          <w:rFonts w:eastAsia="Times New Roman" w:cstheme="minorHAnsi"/>
          <w:color w:val="000000"/>
          <w:sz w:val="24"/>
          <w:szCs w:val="24"/>
          <w:lang w:eastAsia="en-GB"/>
        </w:rPr>
        <w:t xml:space="preserve"> each area faces</w:t>
      </w:r>
      <w:r w:rsidR="008E6DA9">
        <w:rPr>
          <w:rFonts w:eastAsia="Times New Roman" w:cstheme="minorHAnsi"/>
          <w:color w:val="000000"/>
          <w:sz w:val="24"/>
          <w:szCs w:val="24"/>
          <w:lang w:eastAsia="en-GB"/>
        </w:rPr>
        <w:t>.</w:t>
      </w:r>
      <w:r w:rsidR="00BD66A2">
        <w:rPr>
          <w:rFonts w:eastAsia="Times New Roman" w:cstheme="minorHAnsi"/>
          <w:color w:val="000000"/>
          <w:sz w:val="24"/>
          <w:szCs w:val="24"/>
          <w:lang w:eastAsia="en-GB"/>
        </w:rPr>
        <w:t xml:space="preserve"> </w:t>
      </w:r>
      <w:r w:rsidR="00EE4883">
        <w:rPr>
          <w:rFonts w:eastAsia="Times New Roman" w:cstheme="minorHAnsi"/>
          <w:color w:val="000000"/>
          <w:sz w:val="24"/>
          <w:szCs w:val="24"/>
          <w:lang w:eastAsia="en-GB"/>
        </w:rPr>
        <w:t xml:space="preserve">This </w:t>
      </w:r>
      <w:r w:rsidR="00580C44">
        <w:rPr>
          <w:rFonts w:eastAsia="Times New Roman" w:cstheme="minorHAnsi"/>
          <w:color w:val="000000"/>
          <w:sz w:val="24"/>
          <w:szCs w:val="24"/>
          <w:lang w:eastAsia="en-GB"/>
        </w:rPr>
        <w:t>approach to improving literacy</w:t>
      </w:r>
      <w:r w:rsidR="00444466">
        <w:rPr>
          <w:rFonts w:eastAsia="Times New Roman" w:cstheme="minorHAnsi"/>
          <w:color w:val="000000"/>
          <w:sz w:val="24"/>
          <w:szCs w:val="24"/>
          <w:lang w:eastAsia="en-GB"/>
        </w:rPr>
        <w:t xml:space="preserve"> is already bringing benefits to local areas</w:t>
      </w:r>
      <w:r w:rsidR="00EB71D8">
        <w:rPr>
          <w:rFonts w:eastAsia="Times New Roman" w:cstheme="minorHAnsi"/>
          <w:color w:val="000000"/>
          <w:sz w:val="24"/>
          <w:szCs w:val="24"/>
          <w:lang w:eastAsia="en-GB"/>
        </w:rPr>
        <w:t>, with more children achieving a good level of development in Middlesbrough, more children writing outside school in Bradford, and more children enjoying reading in Peterborough.</w:t>
      </w:r>
    </w:p>
    <w:p w14:paraId="1C4EAE9D" w14:textId="118D815F" w:rsidR="00372BB0" w:rsidRDefault="00372BB0" w:rsidP="003144F3">
      <w:pPr>
        <w:tabs>
          <w:tab w:val="left" w:pos="1980"/>
        </w:tabs>
        <w:spacing w:after="0" w:line="240" w:lineRule="auto"/>
        <w:rPr>
          <w:rFonts w:eastAsia="Times New Roman" w:cstheme="minorHAnsi"/>
          <w:color w:val="000000"/>
          <w:sz w:val="24"/>
          <w:szCs w:val="24"/>
          <w:lang w:eastAsia="en-GB"/>
        </w:rPr>
      </w:pPr>
    </w:p>
    <w:p w14:paraId="0125CC8B" w14:textId="4C7D25F9" w:rsidR="00542F77" w:rsidRPr="00542F77" w:rsidRDefault="00542F77" w:rsidP="00542F77">
      <w:pPr>
        <w:pStyle w:val="ListParagraph"/>
        <w:numPr>
          <w:ilvl w:val="0"/>
          <w:numId w:val="6"/>
        </w:numPr>
        <w:rPr>
          <w:b/>
          <w:bCs/>
          <w:szCs w:val="24"/>
          <w:lang w:eastAsia="en-GB"/>
        </w:rPr>
      </w:pPr>
      <w:r w:rsidRPr="00542F77">
        <w:rPr>
          <w:b/>
          <w:bCs/>
          <w:szCs w:val="24"/>
          <w:lang w:eastAsia="en-GB"/>
        </w:rPr>
        <w:t xml:space="preserve">The school system </w:t>
      </w:r>
    </w:p>
    <w:p w14:paraId="07C76EFC" w14:textId="07F9A7E9" w:rsidR="00C16241" w:rsidRDefault="008A6018" w:rsidP="003F6BBE">
      <w:pPr>
        <w:pStyle w:val="NormalWeb"/>
        <w:rPr>
          <w:rFonts w:asciiTheme="minorHAnsi" w:hAnsiTheme="minorHAnsi" w:cstheme="minorHAnsi"/>
          <w:color w:val="000000"/>
        </w:rPr>
      </w:pPr>
      <w:r>
        <w:rPr>
          <w:rFonts w:asciiTheme="minorHAnsi" w:hAnsiTheme="minorHAnsi" w:cstheme="minorHAnsi"/>
          <w:color w:val="000000"/>
        </w:rPr>
        <w:t>As we have outlined above, young people who leave school without good literacy skills are held back at every stage of their lives. S</w:t>
      </w:r>
      <w:r w:rsidR="00C16241">
        <w:rPr>
          <w:rFonts w:asciiTheme="minorHAnsi" w:hAnsiTheme="minorHAnsi" w:cstheme="minorHAnsi"/>
          <w:color w:val="000000"/>
        </w:rPr>
        <w:t xml:space="preserve">econdary schools </w:t>
      </w:r>
      <w:r>
        <w:rPr>
          <w:rFonts w:asciiTheme="minorHAnsi" w:hAnsiTheme="minorHAnsi" w:cstheme="minorHAnsi"/>
          <w:color w:val="000000"/>
        </w:rPr>
        <w:t>should therefore</w:t>
      </w:r>
      <w:r w:rsidR="00C16241">
        <w:rPr>
          <w:rFonts w:asciiTheme="minorHAnsi" w:hAnsiTheme="minorHAnsi" w:cstheme="minorHAnsi"/>
          <w:color w:val="000000"/>
        </w:rPr>
        <w:t xml:space="preserve"> prioritise literacy, embedding reading, writing, speaking and listening in every subject to ensure that no student is left behind.</w:t>
      </w:r>
      <w:r>
        <w:rPr>
          <w:rFonts w:asciiTheme="minorHAnsi" w:hAnsiTheme="minorHAnsi" w:cstheme="minorHAnsi"/>
          <w:color w:val="000000"/>
        </w:rPr>
        <w:t xml:space="preserve"> </w:t>
      </w:r>
      <w:r w:rsidR="007656BB">
        <w:rPr>
          <w:rFonts w:asciiTheme="minorHAnsi" w:hAnsiTheme="minorHAnsi" w:cstheme="minorHAnsi"/>
          <w:color w:val="000000"/>
        </w:rPr>
        <w:t xml:space="preserve">Research shows that the gap in reading ability between children from poorer and better-off families starts to widen significantly after the age of seven, </w:t>
      </w:r>
      <w:r w:rsidR="00230A83">
        <w:rPr>
          <w:rFonts w:asciiTheme="minorHAnsi" w:hAnsiTheme="minorHAnsi" w:cstheme="minorHAnsi"/>
          <w:color w:val="000000"/>
        </w:rPr>
        <w:t>highlighting</w:t>
      </w:r>
      <w:r w:rsidR="007656BB">
        <w:rPr>
          <w:rFonts w:asciiTheme="minorHAnsi" w:hAnsiTheme="minorHAnsi" w:cstheme="minorHAnsi"/>
          <w:color w:val="000000"/>
        </w:rPr>
        <w:t xml:space="preserve"> th</w:t>
      </w:r>
      <w:r w:rsidR="00230A83">
        <w:rPr>
          <w:rFonts w:asciiTheme="minorHAnsi" w:hAnsiTheme="minorHAnsi" w:cstheme="minorHAnsi"/>
          <w:color w:val="000000"/>
        </w:rPr>
        <w:t>e need for school-based interventions</w:t>
      </w:r>
      <w:r w:rsidR="007656BB">
        <w:rPr>
          <w:rStyle w:val="FootnoteReference"/>
          <w:rFonts w:asciiTheme="minorHAnsi" w:hAnsiTheme="minorHAnsi" w:cstheme="minorHAnsi"/>
          <w:color w:val="000000"/>
        </w:rPr>
        <w:footnoteReference w:id="80"/>
      </w:r>
      <w:r w:rsidR="007656BB">
        <w:rPr>
          <w:rFonts w:asciiTheme="minorHAnsi" w:hAnsiTheme="minorHAnsi" w:cstheme="minorHAnsi"/>
          <w:color w:val="000000"/>
        </w:rPr>
        <w:t xml:space="preserve">. </w:t>
      </w:r>
      <w:r>
        <w:rPr>
          <w:rFonts w:asciiTheme="minorHAnsi" w:hAnsiTheme="minorHAnsi" w:cstheme="minorHAnsi"/>
          <w:color w:val="000000"/>
        </w:rPr>
        <w:t>A report from the Education Endowment Foundation suggests that all teachers should be supported to understand how to teach students to read, write and communicate effectively in their subjects</w:t>
      </w:r>
      <w:r>
        <w:rPr>
          <w:rStyle w:val="FootnoteReference"/>
          <w:rFonts w:asciiTheme="minorHAnsi" w:hAnsiTheme="minorHAnsi" w:cstheme="minorHAnsi"/>
          <w:color w:val="000000"/>
        </w:rPr>
        <w:footnoteReference w:id="81"/>
      </w:r>
      <w:r>
        <w:rPr>
          <w:rFonts w:asciiTheme="minorHAnsi" w:hAnsiTheme="minorHAnsi" w:cstheme="minorHAnsi"/>
          <w:color w:val="000000"/>
        </w:rPr>
        <w:t>.</w:t>
      </w:r>
      <w:r w:rsidR="00C16241">
        <w:rPr>
          <w:rFonts w:asciiTheme="minorHAnsi" w:hAnsiTheme="minorHAnsi" w:cstheme="minorHAnsi"/>
          <w:color w:val="000000"/>
        </w:rPr>
        <w:t xml:space="preserve"> </w:t>
      </w:r>
      <w:r w:rsidR="00EC07A1">
        <w:rPr>
          <w:rFonts w:asciiTheme="minorHAnsi" w:hAnsiTheme="minorHAnsi" w:cstheme="minorHAnsi"/>
          <w:color w:val="000000"/>
        </w:rPr>
        <w:t xml:space="preserve">This might include having a literacy coordinator within the school to ensure children are supported to progress in their reading, or enabling teachers to take part in a literacy development training programme. </w:t>
      </w:r>
      <w:r w:rsidR="00C16241">
        <w:rPr>
          <w:rFonts w:asciiTheme="minorHAnsi" w:hAnsiTheme="minorHAnsi" w:cstheme="minorHAnsi"/>
          <w:color w:val="000000"/>
        </w:rPr>
        <w:t xml:space="preserve">Our Literacy for Learning </w:t>
      </w:r>
      <w:r w:rsidR="001762FA">
        <w:rPr>
          <w:rFonts w:asciiTheme="minorHAnsi" w:hAnsiTheme="minorHAnsi" w:cstheme="minorHAnsi"/>
          <w:color w:val="000000"/>
        </w:rPr>
        <w:t xml:space="preserve">training </w:t>
      </w:r>
      <w:r w:rsidR="00C16241">
        <w:rPr>
          <w:rFonts w:asciiTheme="minorHAnsi" w:hAnsiTheme="minorHAnsi" w:cstheme="minorHAnsi"/>
          <w:color w:val="000000"/>
        </w:rPr>
        <w:t>programme work</w:t>
      </w:r>
      <w:r w:rsidR="001762FA">
        <w:rPr>
          <w:rFonts w:asciiTheme="minorHAnsi" w:hAnsiTheme="minorHAnsi" w:cstheme="minorHAnsi"/>
          <w:color w:val="000000"/>
        </w:rPr>
        <w:t>s</w:t>
      </w:r>
      <w:r w:rsidR="00C16241">
        <w:rPr>
          <w:rFonts w:asciiTheme="minorHAnsi" w:hAnsiTheme="minorHAnsi" w:cstheme="minorHAnsi"/>
          <w:color w:val="000000"/>
        </w:rPr>
        <w:t xml:space="preserve"> with teachers to develop a range of approaches to supporting reading, writing, speaking and listening. </w:t>
      </w:r>
      <w:r w:rsidR="00F312CA">
        <w:rPr>
          <w:rFonts w:asciiTheme="minorHAnsi" w:hAnsiTheme="minorHAnsi" w:cstheme="minorHAnsi"/>
          <w:color w:val="000000"/>
        </w:rPr>
        <w:t>We also run a Young Readers programme which encourages schools to form partnerships with organisations in the community to promote reading for enjoyment.</w:t>
      </w:r>
      <w:r w:rsidR="00240345">
        <w:rPr>
          <w:rFonts w:asciiTheme="minorHAnsi" w:hAnsiTheme="minorHAnsi" w:cstheme="minorHAnsi"/>
          <w:color w:val="000000"/>
        </w:rPr>
        <w:t xml:space="preserve"> </w:t>
      </w:r>
      <w:r w:rsidR="00F312CA">
        <w:rPr>
          <w:rFonts w:asciiTheme="minorHAnsi" w:hAnsiTheme="minorHAnsi" w:cstheme="minorHAnsi"/>
          <w:color w:val="000000"/>
        </w:rPr>
        <w:t xml:space="preserve">Research shows that reading for pleasure between the ages of 10 and 16 has a positive impact on children’s </w:t>
      </w:r>
      <w:r w:rsidR="00F312CA">
        <w:rPr>
          <w:rFonts w:asciiTheme="minorHAnsi" w:hAnsiTheme="minorHAnsi" w:cstheme="minorHAnsi"/>
          <w:color w:val="000000"/>
        </w:rPr>
        <w:lastRenderedPageBreak/>
        <w:t>vocabulary, spelling and maths skills, but children in poverty are less likely to read outside school than their better off peers, and less likely to have books of their own</w:t>
      </w:r>
      <w:r w:rsidR="00F312CA">
        <w:rPr>
          <w:rStyle w:val="FootnoteReference"/>
          <w:rFonts w:asciiTheme="minorHAnsi" w:hAnsiTheme="minorHAnsi" w:cstheme="minorHAnsi"/>
          <w:color w:val="000000"/>
        </w:rPr>
        <w:footnoteReference w:id="82"/>
      </w:r>
      <w:r w:rsidR="00F312CA">
        <w:rPr>
          <w:rFonts w:asciiTheme="minorHAnsi" w:hAnsiTheme="minorHAnsi" w:cstheme="minorHAnsi"/>
          <w:color w:val="000000"/>
        </w:rPr>
        <w:t xml:space="preserve">. </w:t>
      </w:r>
    </w:p>
    <w:p w14:paraId="5588C59F" w14:textId="0F54DF59" w:rsidR="00542F77" w:rsidRDefault="00F462B7" w:rsidP="003F6BBE">
      <w:pPr>
        <w:pStyle w:val="NormalWeb"/>
        <w:rPr>
          <w:rFonts w:asciiTheme="minorHAnsi" w:hAnsiTheme="minorHAnsi" w:cstheme="minorHAnsi"/>
          <w:color w:val="000000"/>
        </w:rPr>
      </w:pPr>
      <w:r>
        <w:rPr>
          <w:rFonts w:asciiTheme="minorHAnsi" w:hAnsiTheme="minorHAnsi" w:cstheme="minorHAnsi"/>
          <w:color w:val="000000"/>
        </w:rPr>
        <w:t xml:space="preserve">School libraries </w:t>
      </w:r>
      <w:r w:rsidR="0010390B">
        <w:rPr>
          <w:rFonts w:asciiTheme="minorHAnsi" w:hAnsiTheme="minorHAnsi" w:cstheme="minorHAnsi"/>
          <w:color w:val="000000"/>
        </w:rPr>
        <w:t xml:space="preserve">can </w:t>
      </w:r>
      <w:r w:rsidR="0055184D">
        <w:rPr>
          <w:rFonts w:asciiTheme="minorHAnsi" w:hAnsiTheme="minorHAnsi" w:cstheme="minorHAnsi"/>
          <w:color w:val="000000"/>
        </w:rPr>
        <w:t xml:space="preserve">also </w:t>
      </w:r>
      <w:r w:rsidR="0010390B">
        <w:rPr>
          <w:rFonts w:asciiTheme="minorHAnsi" w:hAnsiTheme="minorHAnsi" w:cstheme="minorHAnsi"/>
          <w:color w:val="000000"/>
        </w:rPr>
        <w:t>help build pupil’s literacy skills,</w:t>
      </w:r>
      <w:r>
        <w:rPr>
          <w:rFonts w:asciiTheme="minorHAnsi" w:hAnsiTheme="minorHAnsi" w:cstheme="minorHAnsi"/>
          <w:color w:val="000000"/>
        </w:rPr>
        <w:t xml:space="preserve"> general</w:t>
      </w:r>
      <w:r w:rsidR="0010390B">
        <w:rPr>
          <w:rFonts w:asciiTheme="minorHAnsi" w:hAnsiTheme="minorHAnsi" w:cstheme="minorHAnsi"/>
          <w:color w:val="000000"/>
        </w:rPr>
        <w:t xml:space="preserve"> academic</w:t>
      </w:r>
      <w:r>
        <w:rPr>
          <w:rFonts w:asciiTheme="minorHAnsi" w:hAnsiTheme="minorHAnsi" w:cstheme="minorHAnsi"/>
          <w:color w:val="000000"/>
        </w:rPr>
        <w:t xml:space="preserve"> attainment</w:t>
      </w:r>
      <w:r w:rsidR="0010390B">
        <w:rPr>
          <w:rFonts w:asciiTheme="minorHAnsi" w:hAnsiTheme="minorHAnsi" w:cstheme="minorHAnsi"/>
          <w:color w:val="000000"/>
        </w:rPr>
        <w:t xml:space="preserve">, </w:t>
      </w:r>
      <w:r>
        <w:rPr>
          <w:rFonts w:asciiTheme="minorHAnsi" w:hAnsiTheme="minorHAnsi" w:cstheme="minorHAnsi"/>
          <w:color w:val="000000"/>
        </w:rPr>
        <w:t xml:space="preserve">and </w:t>
      </w:r>
      <w:r w:rsidR="0010390B">
        <w:rPr>
          <w:rFonts w:asciiTheme="minorHAnsi" w:hAnsiTheme="minorHAnsi" w:cstheme="minorHAnsi"/>
          <w:color w:val="000000"/>
        </w:rPr>
        <w:t>scores in history, mathematics and science, as well as pupil’s reading behaviour and attitudes towards reading</w:t>
      </w:r>
      <w:r>
        <w:rPr>
          <w:rStyle w:val="FootnoteReference"/>
          <w:rFonts w:asciiTheme="minorHAnsi" w:hAnsiTheme="minorHAnsi" w:cstheme="minorHAnsi"/>
          <w:color w:val="000000"/>
        </w:rPr>
        <w:footnoteReference w:id="83"/>
      </w:r>
      <w:r>
        <w:rPr>
          <w:rFonts w:asciiTheme="minorHAnsi" w:hAnsiTheme="minorHAnsi" w:cstheme="minorHAnsi"/>
          <w:color w:val="000000"/>
        </w:rPr>
        <w:t>. Our survey found that pupils who receive free school meals were more likely to use the school library at least once a week compared with those who don’t receive free school meals</w:t>
      </w:r>
      <w:r w:rsidR="0010390B">
        <w:rPr>
          <w:rStyle w:val="FootnoteReference"/>
          <w:rFonts w:asciiTheme="minorHAnsi" w:hAnsiTheme="minorHAnsi" w:cstheme="minorHAnsi"/>
          <w:color w:val="000000"/>
        </w:rPr>
        <w:footnoteReference w:id="84"/>
      </w:r>
      <w:r>
        <w:rPr>
          <w:rFonts w:asciiTheme="minorHAnsi" w:hAnsiTheme="minorHAnsi" w:cstheme="minorHAnsi"/>
          <w:color w:val="000000"/>
        </w:rPr>
        <w:t xml:space="preserve">. </w:t>
      </w:r>
      <w:r w:rsidR="0067215B">
        <w:rPr>
          <w:rFonts w:asciiTheme="minorHAnsi" w:hAnsiTheme="minorHAnsi" w:cstheme="minorHAnsi"/>
          <w:color w:val="000000"/>
        </w:rPr>
        <w:t>However, research shows that schools with a higher proportion of children on free school meals are more than twice as likely not to have access to a designated library space</w:t>
      </w:r>
      <w:r w:rsidR="0067215B">
        <w:rPr>
          <w:rStyle w:val="FootnoteReference"/>
          <w:rFonts w:asciiTheme="minorHAnsi" w:hAnsiTheme="minorHAnsi" w:cstheme="minorHAnsi"/>
          <w:color w:val="000000"/>
        </w:rPr>
        <w:footnoteReference w:id="85"/>
      </w:r>
      <w:r w:rsidR="0067215B">
        <w:rPr>
          <w:rFonts w:asciiTheme="minorHAnsi" w:hAnsiTheme="minorHAnsi" w:cstheme="minorHAnsi"/>
          <w:color w:val="000000"/>
        </w:rPr>
        <w:t xml:space="preserve">. </w:t>
      </w:r>
      <w:r w:rsidR="00817275">
        <w:rPr>
          <w:rFonts w:asciiTheme="minorHAnsi" w:hAnsiTheme="minorHAnsi" w:cstheme="minorHAnsi"/>
          <w:color w:val="000000"/>
        </w:rPr>
        <w:t xml:space="preserve">This means that disadvantaged pupils are less likely to experience the positive benefits that a school library can provide. </w:t>
      </w:r>
      <w:r w:rsidR="00E9502D">
        <w:rPr>
          <w:rFonts w:asciiTheme="minorHAnsi" w:hAnsiTheme="minorHAnsi" w:cstheme="minorHAnsi"/>
          <w:color w:val="000000"/>
        </w:rPr>
        <w:t xml:space="preserve">Our Love Our Libraries training programme helps schools audit and develop their libraries provision by improving their knowledge of children’s books, and teaching them how to create an effective reading environment.  </w:t>
      </w:r>
      <w:r w:rsidR="005B1C69">
        <w:rPr>
          <w:rFonts w:asciiTheme="minorHAnsi" w:hAnsiTheme="minorHAnsi" w:cstheme="minorHAnsi"/>
          <w:color w:val="000000"/>
        </w:rPr>
        <w:t>Schools supported through the programme have gone on to improve their book stock and hold themed events for reluctant readers.</w:t>
      </w:r>
      <w:r w:rsidR="005B1C69">
        <w:rPr>
          <w:rStyle w:val="FootnoteReference"/>
          <w:rFonts w:asciiTheme="minorHAnsi" w:hAnsiTheme="minorHAnsi" w:cstheme="minorHAnsi"/>
          <w:color w:val="000000"/>
        </w:rPr>
        <w:footnoteReference w:id="86"/>
      </w:r>
      <w:r w:rsidR="008A536B">
        <w:rPr>
          <w:rFonts w:asciiTheme="minorHAnsi" w:hAnsiTheme="minorHAnsi" w:cstheme="minorHAnsi"/>
          <w:color w:val="000000"/>
        </w:rPr>
        <w:t xml:space="preserve"> However, we are concerned that the provision of school libraries is decreasing due to issues with budgets and staffing.</w:t>
      </w:r>
      <w:r w:rsidR="008A536B">
        <w:rPr>
          <w:rStyle w:val="FootnoteReference"/>
          <w:rFonts w:asciiTheme="minorHAnsi" w:hAnsiTheme="minorHAnsi" w:cstheme="minorHAnsi"/>
          <w:color w:val="000000"/>
        </w:rPr>
        <w:footnoteReference w:id="87"/>
      </w:r>
    </w:p>
    <w:sectPr w:rsidR="00542F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0A826" w14:textId="77777777" w:rsidR="00CF474B" w:rsidRDefault="00CF474B" w:rsidP="008327E3">
      <w:pPr>
        <w:spacing w:after="0" w:line="240" w:lineRule="auto"/>
      </w:pPr>
      <w:r>
        <w:separator/>
      </w:r>
    </w:p>
  </w:endnote>
  <w:endnote w:type="continuationSeparator" w:id="0">
    <w:p w14:paraId="730B1B13" w14:textId="77777777" w:rsidR="00CF474B" w:rsidRDefault="00CF474B" w:rsidP="0083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D62B5" w14:textId="77777777" w:rsidR="00CF474B" w:rsidRDefault="00CF474B" w:rsidP="008327E3">
      <w:pPr>
        <w:spacing w:after="0" w:line="240" w:lineRule="auto"/>
      </w:pPr>
      <w:r>
        <w:separator/>
      </w:r>
    </w:p>
  </w:footnote>
  <w:footnote w:type="continuationSeparator" w:id="0">
    <w:p w14:paraId="4A16A4BB" w14:textId="77777777" w:rsidR="00CF474B" w:rsidRDefault="00CF474B" w:rsidP="008327E3">
      <w:pPr>
        <w:spacing w:after="0" w:line="240" w:lineRule="auto"/>
      </w:pPr>
      <w:r>
        <w:continuationSeparator/>
      </w:r>
    </w:p>
  </w:footnote>
  <w:footnote w:id="1">
    <w:p w14:paraId="5F713101" w14:textId="77777777" w:rsidR="00C717BE" w:rsidRDefault="00C717BE" w:rsidP="00C717BE">
      <w:pPr>
        <w:pStyle w:val="FootnoteText"/>
      </w:pPr>
      <w:r>
        <w:rPr>
          <w:rStyle w:val="FootnoteReference"/>
        </w:rPr>
        <w:footnoteRef/>
      </w:r>
      <w:r>
        <w:t xml:space="preserve"> </w:t>
      </w:r>
      <w:hyperlink r:id="rId1" w:history="1">
        <w:r>
          <w:rPr>
            <w:rStyle w:val="Hyperlink"/>
          </w:rPr>
          <w:t>http://data.parliament.uk/writtenevidence/WrittenEvidence.svc/EvidenceHtml/2577</w:t>
        </w:r>
      </w:hyperlink>
    </w:p>
  </w:footnote>
  <w:footnote w:id="2">
    <w:p w14:paraId="6F8F754B" w14:textId="790AE5D8" w:rsidR="00C91FA1" w:rsidRDefault="00C91FA1">
      <w:pPr>
        <w:pStyle w:val="FootnoteText"/>
      </w:pPr>
      <w:r>
        <w:rPr>
          <w:rStyle w:val="FootnoteReference"/>
        </w:rPr>
        <w:footnoteRef/>
      </w:r>
      <w:r>
        <w:t xml:space="preserve"> </w:t>
      </w:r>
      <w:r w:rsidRPr="00C91FA1">
        <w:t>https://www.tandfonline.com/doi/full/10.1080/02680939.2018.1531314</w:t>
      </w:r>
    </w:p>
  </w:footnote>
  <w:footnote w:id="3">
    <w:p w14:paraId="2AE969DE" w14:textId="1C7B0B6F" w:rsidR="00D83923" w:rsidRDefault="00D83923">
      <w:pPr>
        <w:pStyle w:val="FootnoteText"/>
      </w:pPr>
      <w:r>
        <w:rPr>
          <w:rStyle w:val="FootnoteReference"/>
        </w:rPr>
        <w:footnoteRef/>
      </w:r>
      <w:r w:rsidRPr="00D83923">
        <w:t>https://assets.publishing.service.gov.uk/government/uploads/system/uploads/attachment_data/file/351496/RR354_-_Students__educational_and_developmental_outcomes_at_age_16.pdf</w:t>
      </w:r>
    </w:p>
  </w:footnote>
  <w:footnote w:id="4">
    <w:p w14:paraId="75453C48" w14:textId="77777777" w:rsidR="00C94A88" w:rsidRDefault="00C94A88" w:rsidP="00C94A88">
      <w:pPr>
        <w:pStyle w:val="FootnoteText"/>
      </w:pPr>
      <w:r>
        <w:rPr>
          <w:rStyle w:val="FootnoteReference"/>
        </w:rPr>
        <w:footnoteRef/>
      </w:r>
      <w:r>
        <w:t xml:space="preserve"> </w:t>
      </w:r>
      <w:r w:rsidRPr="005E7C18">
        <w:t>https://discovery.ucl.ac.uk/id/eprint/10005309/1/sylva2004EPPEfinal.pdf</w:t>
      </w:r>
    </w:p>
  </w:footnote>
  <w:footnote w:id="5">
    <w:p w14:paraId="30E37062" w14:textId="77777777" w:rsidR="00AA6283" w:rsidRDefault="00AA6283" w:rsidP="00AA6283">
      <w:pPr>
        <w:pStyle w:val="FootnoteText"/>
      </w:pPr>
      <w:r>
        <w:rPr>
          <w:rStyle w:val="FootnoteReference"/>
        </w:rPr>
        <w:footnoteRef/>
      </w:r>
      <w:r w:rsidRPr="00E63A69">
        <w:t>https://assets.publishing.service.gov.uk/government/uploads/system/uploads/attachment_data/file/455670/RB455_Effective_pre-school_primary_and_secondary_education_project.pdf.pdf</w:t>
      </w:r>
    </w:p>
  </w:footnote>
  <w:footnote w:id="6">
    <w:p w14:paraId="3B882D03" w14:textId="26CD8EFF" w:rsidR="00A54851" w:rsidRDefault="00A54851">
      <w:pPr>
        <w:pStyle w:val="FootnoteText"/>
      </w:pPr>
      <w:r>
        <w:rPr>
          <w:rStyle w:val="FootnoteReference"/>
        </w:rPr>
        <w:footnoteRef/>
      </w:r>
      <w:r>
        <w:t xml:space="preserve"> </w:t>
      </w:r>
      <w:r w:rsidRPr="00A54851">
        <w:t>https://publications.parliament.uk/pa/cm201719/cmselect/cmeduc/1006/1006.pdf</w:t>
      </w:r>
    </w:p>
  </w:footnote>
  <w:footnote w:id="7">
    <w:p w14:paraId="75764DD9" w14:textId="37726E80" w:rsidR="00E66DD8" w:rsidRDefault="00E66DD8">
      <w:pPr>
        <w:pStyle w:val="FootnoteText"/>
      </w:pPr>
      <w:r>
        <w:rPr>
          <w:rStyle w:val="FootnoteReference"/>
        </w:rPr>
        <w:footnoteRef/>
      </w:r>
      <w:r w:rsidRPr="00E66DD8">
        <w:t>https://assets.publishing.service.gov.uk/government/uploads/system/uploads/attachment_data/file/351496/RR354_-_Students__educational_and_developmental_outcomes_at_age_16.pdf</w:t>
      </w:r>
    </w:p>
  </w:footnote>
  <w:footnote w:id="8">
    <w:p w14:paraId="184B3B91" w14:textId="3CB6586F" w:rsidR="00A84C96" w:rsidRDefault="00A84C96">
      <w:pPr>
        <w:pStyle w:val="FootnoteText"/>
      </w:pPr>
      <w:r>
        <w:rPr>
          <w:rStyle w:val="FootnoteReference"/>
        </w:rPr>
        <w:footnoteRef/>
      </w:r>
      <w:r>
        <w:t xml:space="preserve"> </w:t>
      </w:r>
      <w:r w:rsidRPr="00A84C96">
        <w:t>https://literacytrust.org.uk/research-services/research-reports/emergent-literacy-practices-early-years-settings-2015-third-annual-survey-practitioners/</w:t>
      </w:r>
    </w:p>
  </w:footnote>
  <w:footnote w:id="9">
    <w:p w14:paraId="463D6D79" w14:textId="2BA92550" w:rsidR="00A84C96" w:rsidRDefault="00A84C96">
      <w:pPr>
        <w:pStyle w:val="FootnoteText"/>
      </w:pPr>
      <w:r>
        <w:rPr>
          <w:rStyle w:val="FootnoteReference"/>
        </w:rPr>
        <w:footnoteRef/>
      </w:r>
      <w:r>
        <w:t xml:space="preserve"> ibid</w:t>
      </w:r>
    </w:p>
  </w:footnote>
  <w:footnote w:id="10">
    <w:p w14:paraId="238B7912" w14:textId="3C0601C9" w:rsidR="00F770A9" w:rsidRDefault="00F770A9">
      <w:pPr>
        <w:pStyle w:val="FootnoteText"/>
      </w:pPr>
      <w:r>
        <w:rPr>
          <w:rStyle w:val="FootnoteReference"/>
        </w:rPr>
        <w:footnoteRef/>
      </w:r>
      <w:r w:rsidRPr="00F770A9">
        <w:t>https://www.nuffieldfoundation.org/sites/default/files/files/Early_years_education_and_childcare_Nuffield_FINAL.pdf</w:t>
      </w:r>
    </w:p>
  </w:footnote>
  <w:footnote w:id="11">
    <w:p w14:paraId="43580161" w14:textId="0F9601CF" w:rsidR="00533504" w:rsidRDefault="00533504">
      <w:pPr>
        <w:pStyle w:val="FootnoteText"/>
      </w:pPr>
      <w:r>
        <w:rPr>
          <w:rStyle w:val="FootnoteReference"/>
        </w:rPr>
        <w:footnoteRef/>
      </w:r>
      <w:r w:rsidR="00E1449D">
        <w:t>ibid</w:t>
      </w:r>
    </w:p>
  </w:footnote>
  <w:footnote w:id="12">
    <w:p w14:paraId="4EDDD8F3" w14:textId="16B0D906" w:rsidR="00005431" w:rsidRDefault="00005431">
      <w:pPr>
        <w:pStyle w:val="FootnoteText"/>
      </w:pPr>
      <w:r>
        <w:rPr>
          <w:rStyle w:val="FootnoteReference"/>
        </w:rPr>
        <w:footnoteRef/>
      </w:r>
      <w:r>
        <w:t xml:space="preserve"> </w:t>
      </w:r>
      <w:r w:rsidRPr="00005431">
        <w:t>https://cdn.literacytrust.org.uk/media/documents/2016_07_06_free_research_-_evaluation_of_HELLO_2016_BhIeDS7.pdf</w:t>
      </w:r>
    </w:p>
  </w:footnote>
  <w:footnote w:id="13">
    <w:p w14:paraId="28FD8CC0" w14:textId="3AD996D9" w:rsidR="009D173A" w:rsidRDefault="009D173A">
      <w:pPr>
        <w:pStyle w:val="FootnoteText"/>
      </w:pPr>
      <w:r>
        <w:rPr>
          <w:rStyle w:val="FootnoteReference"/>
        </w:rPr>
        <w:footnoteRef/>
      </w:r>
      <w:r>
        <w:t xml:space="preserve"> </w:t>
      </w:r>
      <w:r w:rsidRPr="009D173A">
        <w:t>https://www.savethechildren.org.uk/content/dam/global/reports/advocacy/developing-childrens-zones-summary.pdf</w:t>
      </w:r>
    </w:p>
  </w:footnote>
  <w:footnote w:id="14">
    <w:p w14:paraId="658B943F" w14:textId="3C0D12E4" w:rsidR="00F53D94" w:rsidRDefault="00F53D94">
      <w:pPr>
        <w:pStyle w:val="FootnoteText"/>
      </w:pPr>
      <w:r>
        <w:rPr>
          <w:rStyle w:val="FootnoteReference"/>
        </w:rPr>
        <w:footnoteRef/>
      </w:r>
      <w:r>
        <w:t xml:space="preserve"> </w:t>
      </w:r>
      <w:r w:rsidRPr="00F53D94">
        <w:t>https://childrensneighbourhoods.scot/wp-content/uploads/2019/04/cnsplacebasedapproachesliteraturereview.pdf</w:t>
      </w:r>
    </w:p>
  </w:footnote>
  <w:footnote w:id="15">
    <w:p w14:paraId="7CD9DFED" w14:textId="3E821AE8" w:rsidR="007F031D" w:rsidRDefault="007F031D" w:rsidP="007F031D">
      <w:pPr>
        <w:pStyle w:val="FootnoteText"/>
      </w:pPr>
      <w:r>
        <w:rPr>
          <w:rStyle w:val="FootnoteReference"/>
        </w:rPr>
        <w:footnoteRef/>
      </w:r>
      <w:r>
        <w:t xml:space="preserve"> D</w:t>
      </w:r>
      <w:r w:rsidR="00703A2C">
        <w:t>yson et al, D</w:t>
      </w:r>
      <w:r>
        <w:t>eveloping Childrens Zones: What’s the Evidence</w:t>
      </w:r>
      <w:r w:rsidR="00703A2C">
        <w:t>?</w:t>
      </w:r>
    </w:p>
  </w:footnote>
  <w:footnote w:id="16">
    <w:p w14:paraId="24AA7E6C" w14:textId="0E6681E6" w:rsidR="007021AB" w:rsidRDefault="007021AB">
      <w:pPr>
        <w:pStyle w:val="FootnoteText"/>
      </w:pPr>
      <w:r>
        <w:rPr>
          <w:rStyle w:val="FootnoteReference"/>
        </w:rPr>
        <w:footnoteRef/>
      </w:r>
      <w:r>
        <w:t xml:space="preserve"> </w:t>
      </w:r>
      <w:r w:rsidR="002B01E6">
        <w:t>ibid</w:t>
      </w:r>
    </w:p>
  </w:footnote>
  <w:footnote w:id="17">
    <w:p w14:paraId="626ECCC3" w14:textId="77777777" w:rsidR="00714DE0" w:rsidRDefault="00714DE0" w:rsidP="00714DE0">
      <w:pPr>
        <w:pStyle w:val="FootnoteText"/>
      </w:pPr>
      <w:r>
        <w:rPr>
          <w:rStyle w:val="FootnoteReference"/>
        </w:rPr>
        <w:footnoteRef/>
      </w:r>
      <w:r>
        <w:t xml:space="preserve"> </w:t>
      </w:r>
      <w:r w:rsidRPr="00C37210">
        <w:t>https://www.ncbi.nlm.nih.gov/pmc/articles/PMC2528798/</w:t>
      </w:r>
    </w:p>
  </w:footnote>
  <w:footnote w:id="18">
    <w:p w14:paraId="7C2A2051" w14:textId="0A7D0610" w:rsidR="003F1E0C" w:rsidRDefault="003F1E0C" w:rsidP="003F1E0C">
      <w:pPr>
        <w:pStyle w:val="FootnoteText"/>
      </w:pPr>
      <w:r>
        <w:rPr>
          <w:rStyle w:val="FootnoteReference"/>
        </w:rPr>
        <w:footnoteRef/>
      </w:r>
      <w:r>
        <w:t xml:space="preserve"> </w:t>
      </w:r>
      <w:hyperlink r:id="rId2" w:history="1">
        <w:r w:rsidR="00824B6D">
          <w:rPr>
            <w:rStyle w:val="Hyperlink"/>
          </w:rPr>
          <w:t>https://jech.bmj.com/content/57/9/699</w:t>
        </w:r>
      </w:hyperlink>
    </w:p>
  </w:footnote>
  <w:footnote w:id="19">
    <w:p w14:paraId="01C11BF3" w14:textId="0742B2BB" w:rsidR="00A370B2" w:rsidRDefault="00A370B2">
      <w:pPr>
        <w:pStyle w:val="FootnoteText"/>
      </w:pPr>
      <w:r>
        <w:rPr>
          <w:rStyle w:val="FootnoteReference"/>
        </w:rPr>
        <w:footnoteRef/>
      </w:r>
      <w:hyperlink r:id="rId3" w:history="1">
        <w:r w:rsidR="00CC56E0">
          <w:rPr>
            <w:rStyle w:val="Hyperlink"/>
          </w:rPr>
          <w:t>https://literacytrust.org.uk/policy-and-campaigns/all-party-parliamentary-group-literacy/literacy-score-mapping-literacy-need-across-england/</w:t>
        </w:r>
      </w:hyperlink>
    </w:p>
  </w:footnote>
  <w:footnote w:id="20">
    <w:p w14:paraId="45004B1D" w14:textId="70D28A4E" w:rsidR="00EF6524" w:rsidRDefault="00EF6524">
      <w:pPr>
        <w:pStyle w:val="FootnoteText"/>
      </w:pPr>
      <w:r>
        <w:rPr>
          <w:rStyle w:val="FootnoteReference"/>
        </w:rPr>
        <w:footnoteRef/>
      </w:r>
      <w:r w:rsidRPr="00EF6524">
        <w:t>https://assets.publishing.service.gov.uk/government/uploads/system/uploads/attachment_data/file/835115/IoD2019_Statistical_Release.pdf</w:t>
      </w:r>
    </w:p>
  </w:footnote>
  <w:footnote w:id="21">
    <w:p w14:paraId="2A69D9A6" w14:textId="7A077E04" w:rsidR="005932A5" w:rsidRDefault="005932A5">
      <w:pPr>
        <w:pStyle w:val="FootnoteText"/>
      </w:pPr>
      <w:r>
        <w:rPr>
          <w:rStyle w:val="FootnoteReference"/>
        </w:rPr>
        <w:footnoteRef/>
      </w:r>
      <w:hyperlink r:id="rId4" w:history="1">
        <w:r>
          <w:rPr>
            <w:rStyle w:val="Hyperlink"/>
          </w:rPr>
          <w:t>https://cdn.literacytrust.org.uk/media/documents/National_Literacy_Trust_Hubs_a_place_based_response_to_low_literacy.pdf</w:t>
        </w:r>
      </w:hyperlink>
    </w:p>
  </w:footnote>
  <w:footnote w:id="22">
    <w:p w14:paraId="7002537D" w14:textId="1935D390" w:rsidR="007624D5" w:rsidRDefault="007624D5">
      <w:pPr>
        <w:pStyle w:val="FootnoteText"/>
      </w:pPr>
      <w:r>
        <w:rPr>
          <w:rStyle w:val="FootnoteReference"/>
        </w:rPr>
        <w:footnoteRef/>
      </w:r>
      <w:r>
        <w:t xml:space="preserve"> </w:t>
      </w:r>
      <w:r w:rsidRPr="007624D5">
        <w:t>https://cdn.literacytrust.org.uk/media/documents/National_Literacy_Trust_-_Literacy_and_life_expectancy_report.pdf</w:t>
      </w:r>
    </w:p>
  </w:footnote>
  <w:footnote w:id="23">
    <w:p w14:paraId="2B33DE55" w14:textId="6432AF27" w:rsidR="00EB45C6" w:rsidRDefault="00EB45C6">
      <w:pPr>
        <w:pStyle w:val="FootnoteText"/>
      </w:pPr>
      <w:r>
        <w:rPr>
          <w:rStyle w:val="FootnoteReference"/>
        </w:rPr>
        <w:footnoteRef/>
      </w:r>
      <w:r>
        <w:t xml:space="preserve"> </w:t>
      </w:r>
      <w:r w:rsidRPr="00EB45C6">
        <w:t>https://www.sciencedirect.com/science/article/abs/pii/S0361476X12000501</w:t>
      </w:r>
    </w:p>
  </w:footnote>
  <w:footnote w:id="24">
    <w:p w14:paraId="1C1AF243" w14:textId="45E96317" w:rsidR="001A0B0F" w:rsidRDefault="001A0B0F">
      <w:pPr>
        <w:pStyle w:val="FootnoteText"/>
      </w:pPr>
      <w:r>
        <w:rPr>
          <w:rStyle w:val="FootnoteReference"/>
        </w:rPr>
        <w:footnoteRef/>
      </w:r>
      <w:r>
        <w:t xml:space="preserve"> </w:t>
      </w:r>
      <w:r w:rsidRPr="001A0B0F">
        <w:t>https://www.sciencedirect.com/science/article/pii/S0885200613000513</w:t>
      </w:r>
    </w:p>
  </w:footnote>
  <w:footnote w:id="25">
    <w:p w14:paraId="4CA8E023" w14:textId="7EF11BAD" w:rsidR="00BA2804" w:rsidRDefault="00BA2804">
      <w:pPr>
        <w:pStyle w:val="FootnoteText"/>
      </w:pPr>
      <w:r>
        <w:rPr>
          <w:rStyle w:val="FootnoteReference"/>
        </w:rPr>
        <w:footnoteRef/>
      </w:r>
      <w:r w:rsidRPr="00BA2804">
        <w:t>https://www.researchgate.net/publication/223620294_A_model_of_the_home_learning_environment_and_social_risk_factors_in_relation_to_children%27s_literacy_and_social_outcomes</w:t>
      </w:r>
    </w:p>
  </w:footnote>
  <w:footnote w:id="26">
    <w:p w14:paraId="22CDB8E9" w14:textId="343CCE0F" w:rsidR="00141249" w:rsidRDefault="00141249">
      <w:pPr>
        <w:pStyle w:val="FootnoteText"/>
      </w:pPr>
      <w:r>
        <w:rPr>
          <w:rStyle w:val="FootnoteReference"/>
        </w:rPr>
        <w:footnoteRef/>
      </w:r>
      <w:r>
        <w:t xml:space="preserve"> </w:t>
      </w:r>
      <w:r w:rsidRPr="00141249">
        <w:t>https://www.ncbi.nlm.nih.gov/pubmed/24462995</w:t>
      </w:r>
    </w:p>
  </w:footnote>
  <w:footnote w:id="27">
    <w:p w14:paraId="2DA732CB" w14:textId="550A7708" w:rsidR="004F5D1C" w:rsidRDefault="004F5D1C">
      <w:pPr>
        <w:pStyle w:val="FootnoteText"/>
      </w:pPr>
      <w:r>
        <w:rPr>
          <w:rStyle w:val="FootnoteReference"/>
        </w:rPr>
        <w:footnoteRef/>
      </w:r>
      <w:r>
        <w:t xml:space="preserve"> </w:t>
      </w:r>
      <w:r w:rsidRPr="004F5D1C">
        <w:t>https://www.thecommunicationtrust.org.uk/media/540327/tct_talkingaboutageneration_report_online.pdf</w:t>
      </w:r>
    </w:p>
  </w:footnote>
  <w:footnote w:id="28">
    <w:p w14:paraId="2C49786D" w14:textId="45EAB548" w:rsidR="004F5D1C" w:rsidRDefault="004F5D1C">
      <w:pPr>
        <w:pStyle w:val="FootnoteText"/>
      </w:pPr>
      <w:r>
        <w:rPr>
          <w:rStyle w:val="FootnoteReference"/>
        </w:rPr>
        <w:footnoteRef/>
      </w:r>
      <w:r>
        <w:t xml:space="preserve"> ibid</w:t>
      </w:r>
    </w:p>
  </w:footnote>
  <w:footnote w:id="29">
    <w:p w14:paraId="6E84DB0C" w14:textId="3F66BB4C" w:rsidR="000E3DFE" w:rsidRDefault="000E3DFE">
      <w:pPr>
        <w:pStyle w:val="FootnoteText"/>
      </w:pPr>
      <w:r>
        <w:rPr>
          <w:rStyle w:val="FootnoteReference"/>
        </w:rPr>
        <w:footnoteRef/>
      </w:r>
      <w:r>
        <w:t xml:space="preserve"> </w:t>
      </w:r>
      <w:r w:rsidRPr="000E3DFE">
        <w:t>https://discovery.ucl.ac.uk/id/eprint/10005309/1/sylva2004EPPEfinal.pdf</w:t>
      </w:r>
    </w:p>
  </w:footnote>
  <w:footnote w:id="30">
    <w:p w14:paraId="2F4043B6" w14:textId="6F1E02A1" w:rsidR="00355EFB" w:rsidRDefault="00355EFB">
      <w:pPr>
        <w:pStyle w:val="FootnoteText"/>
      </w:pPr>
      <w:r>
        <w:rPr>
          <w:rStyle w:val="FootnoteReference"/>
        </w:rPr>
        <w:footnoteRef/>
      </w:r>
      <w:r w:rsidRPr="00355EFB">
        <w:t>https://assets.publishing.service.gov.uk/government/uploads/system/uploads/attachment_data/file/528315/The_childhood_origins_of_social_mobility.pdf</w:t>
      </w:r>
    </w:p>
  </w:footnote>
  <w:footnote w:id="31">
    <w:p w14:paraId="097D8DCF" w14:textId="1FF46D08" w:rsidR="008025A8" w:rsidRDefault="008025A8">
      <w:pPr>
        <w:pStyle w:val="FootnoteText"/>
      </w:pPr>
      <w:r>
        <w:rPr>
          <w:rStyle w:val="FootnoteReference"/>
        </w:rPr>
        <w:footnoteRef/>
      </w:r>
      <w:r>
        <w:t xml:space="preserve"> </w:t>
      </w:r>
      <w:r w:rsidRPr="008025A8">
        <w:t>https://www.actionforchildren.org.uk/media/9370/hle-think-piece.pdf?k_clickid=%2Flifestyle%2Fhow-to-create-a-learning-environment-in-the-home%2F</w:t>
      </w:r>
    </w:p>
  </w:footnote>
  <w:footnote w:id="32">
    <w:p w14:paraId="5084C193" w14:textId="5D4B953B" w:rsidR="002721CB" w:rsidRDefault="002721CB">
      <w:pPr>
        <w:pStyle w:val="FootnoteText"/>
      </w:pPr>
      <w:r>
        <w:rPr>
          <w:rStyle w:val="FootnoteReference"/>
        </w:rPr>
        <w:footnoteRef/>
      </w:r>
      <w:r>
        <w:t xml:space="preserve"> </w:t>
      </w:r>
      <w:r w:rsidRPr="002721CB">
        <w:t>https://www.suttontrust.com/wp-content/uploads/2019/12/Sutton_Trust_Cognitive_Report-2.pdf</w:t>
      </w:r>
    </w:p>
  </w:footnote>
  <w:footnote w:id="33">
    <w:p w14:paraId="6F43B45A" w14:textId="4704760C" w:rsidR="001667B3" w:rsidRDefault="001667B3">
      <w:pPr>
        <w:pStyle w:val="FootnoteText"/>
      </w:pPr>
      <w:r>
        <w:rPr>
          <w:rStyle w:val="FootnoteReference"/>
        </w:rPr>
        <w:footnoteRef/>
      </w:r>
      <w:r>
        <w:t xml:space="preserve"> </w:t>
      </w:r>
      <w:r w:rsidRPr="001667B3">
        <w:t>https://www.pnas.org/content/110/28/11278</w:t>
      </w:r>
    </w:p>
  </w:footnote>
  <w:footnote w:id="34">
    <w:p w14:paraId="0875E891" w14:textId="77777777" w:rsidR="00493E55" w:rsidRDefault="00493E55" w:rsidP="00493E55">
      <w:pPr>
        <w:pStyle w:val="FootnoteText"/>
      </w:pPr>
      <w:r>
        <w:rPr>
          <w:rStyle w:val="FootnoteReference"/>
        </w:rPr>
        <w:footnoteRef/>
      </w:r>
      <w:r>
        <w:t xml:space="preserve"> </w:t>
      </w:r>
      <w:r w:rsidRPr="009B02BA">
        <w:t>https://literacytrust.org.uk/policy-and-campaigns/home-learning-environment/</w:t>
      </w:r>
    </w:p>
  </w:footnote>
  <w:footnote w:id="35">
    <w:p w14:paraId="37F68375" w14:textId="718675E9" w:rsidR="009A5F7A" w:rsidRDefault="009A5F7A">
      <w:pPr>
        <w:pStyle w:val="FootnoteText"/>
      </w:pPr>
      <w:r>
        <w:rPr>
          <w:rStyle w:val="FootnoteReference"/>
        </w:rPr>
        <w:footnoteRef/>
      </w:r>
      <w:hyperlink r:id="rId5" w:history="1">
        <w:r>
          <w:rPr>
            <w:rStyle w:val="Hyperlink"/>
          </w:rPr>
          <w:t>https://assets.publishing.service.gov.uk/government/uploads/system/uploads/attachment_data/file/183539/DFE-RR172a.pdf</w:t>
        </w:r>
      </w:hyperlink>
    </w:p>
  </w:footnote>
  <w:footnote w:id="36">
    <w:p w14:paraId="4337202A" w14:textId="54F16BBA" w:rsidR="004D0B97" w:rsidRDefault="004D0B97">
      <w:pPr>
        <w:pStyle w:val="FootnoteText"/>
      </w:pPr>
      <w:r>
        <w:rPr>
          <w:rStyle w:val="FootnoteReference"/>
        </w:rPr>
        <w:footnoteRef/>
      </w:r>
      <w:hyperlink r:id="rId6" w:history="1">
        <w:r>
          <w:rPr>
            <w:rStyle w:val="Hyperlink"/>
          </w:rPr>
          <w:t>https://assets.publishing.service.gov.uk/government/uploads/system/uploads/attachment_data/file/756020/Improving_the_home_learning_environment.pdf</w:t>
        </w:r>
      </w:hyperlink>
    </w:p>
  </w:footnote>
  <w:footnote w:id="37">
    <w:p w14:paraId="2972A068" w14:textId="126A6E9A" w:rsidR="003C3CB5" w:rsidRDefault="003C3CB5">
      <w:pPr>
        <w:pStyle w:val="FootnoteText"/>
      </w:pPr>
      <w:r>
        <w:rPr>
          <w:rStyle w:val="FootnoteReference"/>
        </w:rPr>
        <w:footnoteRef/>
      </w:r>
      <w:r>
        <w:t xml:space="preserve"> </w:t>
      </w:r>
      <w:r w:rsidRPr="003C3CB5">
        <w:t>https://www.sciencedirect.com/science/article/abs/pii/0001879189900389</w:t>
      </w:r>
    </w:p>
  </w:footnote>
  <w:footnote w:id="38">
    <w:p w14:paraId="19503BCC" w14:textId="3A72E290" w:rsidR="001C2668" w:rsidRDefault="001C2668">
      <w:pPr>
        <w:pStyle w:val="FootnoteText"/>
      </w:pPr>
      <w:r>
        <w:rPr>
          <w:rStyle w:val="FootnoteReference"/>
        </w:rPr>
        <w:footnoteRef/>
      </w:r>
      <w:r>
        <w:t xml:space="preserve"> </w:t>
      </w:r>
      <w:r w:rsidRPr="001C2668">
        <w:t>https://www.bi.team/blogs/more-evidence-on-the-power-of-role-models/</w:t>
      </w:r>
    </w:p>
  </w:footnote>
  <w:footnote w:id="39">
    <w:p w14:paraId="1A4E9993" w14:textId="7A3CB827" w:rsidR="00A9554B" w:rsidRDefault="00A9554B">
      <w:pPr>
        <w:pStyle w:val="FootnoteText"/>
      </w:pPr>
      <w:r>
        <w:rPr>
          <w:rStyle w:val="FootnoteReference"/>
        </w:rPr>
        <w:footnoteRef/>
      </w:r>
      <w:r>
        <w:t xml:space="preserve"> </w:t>
      </w:r>
      <w:r w:rsidRPr="00A9554B">
        <w:t>https://onlinelibrary.wiley.com/doi/abs/10.1111/j.1475-5890.2012.00158.x</w:t>
      </w:r>
    </w:p>
  </w:footnote>
  <w:footnote w:id="40">
    <w:p w14:paraId="62A12F18" w14:textId="1244CE9F" w:rsidR="006F1712" w:rsidRDefault="006F1712">
      <w:pPr>
        <w:pStyle w:val="FootnoteText"/>
      </w:pPr>
      <w:r>
        <w:rPr>
          <w:rStyle w:val="FootnoteReference"/>
        </w:rPr>
        <w:footnoteRef/>
      </w:r>
      <w:r>
        <w:t xml:space="preserve"> </w:t>
      </w:r>
      <w:r w:rsidRPr="006F1712">
        <w:t>http://citeseerx.ist.psu.edu/viewdoc/download?doi=10.1.1.578.7014&amp;rep=rep1&amp;type=pdf</w:t>
      </w:r>
    </w:p>
  </w:footnote>
  <w:footnote w:id="41">
    <w:p w14:paraId="5AA74A26" w14:textId="77777777" w:rsidR="009902E7" w:rsidRDefault="009902E7" w:rsidP="009902E7">
      <w:pPr>
        <w:pStyle w:val="FootnoteText"/>
      </w:pPr>
      <w:r>
        <w:rPr>
          <w:rStyle w:val="FootnoteReference"/>
        </w:rPr>
        <w:footnoteRef/>
      </w:r>
      <w:r>
        <w:t xml:space="preserve"> </w:t>
      </w:r>
      <w:r w:rsidRPr="003B0676">
        <w:t>https://cdn.literacytrust.org.uk/media/documents/2009_01_04_free_research_-_reading_and_role_models_survey_2009_kOxO0Dt.pdf</w:t>
      </w:r>
    </w:p>
  </w:footnote>
  <w:footnote w:id="42">
    <w:p w14:paraId="16B2A146" w14:textId="50BB8E8A" w:rsidR="00B76D66" w:rsidRDefault="00B76D66">
      <w:pPr>
        <w:pStyle w:val="FootnoteText"/>
      </w:pPr>
      <w:r>
        <w:rPr>
          <w:rStyle w:val="FootnoteReference"/>
        </w:rPr>
        <w:footnoteRef/>
      </w:r>
      <w:r>
        <w:t xml:space="preserve"> </w:t>
      </w:r>
      <w:r w:rsidRPr="00B76D66">
        <w:t>http://www-personal.umich.edu/~tmarra/class/anderson.pdf</w:t>
      </w:r>
    </w:p>
  </w:footnote>
  <w:footnote w:id="43">
    <w:p w14:paraId="6664CAF8" w14:textId="2D7F0264" w:rsidR="009635AE" w:rsidRDefault="009635AE">
      <w:pPr>
        <w:pStyle w:val="FootnoteText"/>
      </w:pPr>
      <w:r>
        <w:rPr>
          <w:rStyle w:val="FootnoteReference"/>
        </w:rPr>
        <w:footnoteRef/>
      </w:r>
      <w:r>
        <w:t xml:space="preserve"> </w:t>
      </w:r>
      <w:hyperlink r:id="rId7" w:history="1">
        <w:r>
          <w:rPr>
            <w:rStyle w:val="Hyperlink"/>
          </w:rPr>
          <w:t>https://literacytrust.org.uk/research-services/research-reports/premier-league-reading-stars-evaluation-reports-201516/</w:t>
        </w:r>
      </w:hyperlink>
    </w:p>
  </w:footnote>
  <w:footnote w:id="44">
    <w:p w14:paraId="44236AB5" w14:textId="77777777" w:rsidR="00EF7FC4" w:rsidRDefault="00EF7FC4" w:rsidP="00EF7FC4">
      <w:pPr>
        <w:pStyle w:val="FootnoteText"/>
      </w:pPr>
      <w:r>
        <w:rPr>
          <w:rStyle w:val="FootnoteReference"/>
        </w:rPr>
        <w:footnoteRef/>
      </w:r>
      <w:r>
        <w:t xml:space="preserve"> </w:t>
      </w:r>
      <w:hyperlink r:id="rId8" w:history="1">
        <w:r>
          <w:rPr>
            <w:rStyle w:val="Hyperlink"/>
          </w:rPr>
          <w:t>https://www.instituteforgovernment.org.uk/sites/default/files/publications/MINDSPACE.pdf</w:t>
        </w:r>
      </w:hyperlink>
    </w:p>
  </w:footnote>
  <w:footnote w:id="45">
    <w:p w14:paraId="119794DB" w14:textId="3CAB0993" w:rsidR="00AA7C3B" w:rsidRDefault="00AA7C3B">
      <w:pPr>
        <w:pStyle w:val="FootnoteText"/>
      </w:pPr>
      <w:r>
        <w:rPr>
          <w:rStyle w:val="FootnoteReference"/>
        </w:rPr>
        <w:footnoteRef/>
      </w:r>
      <w:r>
        <w:t xml:space="preserve"> </w:t>
      </w:r>
      <w:r w:rsidRPr="00AA7C3B">
        <w:t>https://psycnet.apa.org/record/2002-02002-004</w:t>
      </w:r>
    </w:p>
  </w:footnote>
  <w:footnote w:id="46">
    <w:p w14:paraId="68E41FFD" w14:textId="02102655" w:rsidR="008F7645" w:rsidRDefault="008F7645">
      <w:pPr>
        <w:pStyle w:val="FootnoteText"/>
      </w:pPr>
      <w:r>
        <w:rPr>
          <w:rStyle w:val="FootnoteReference"/>
        </w:rPr>
        <w:footnoteRef/>
      </w:r>
      <w:r>
        <w:t xml:space="preserve"> </w:t>
      </w:r>
      <w:hyperlink r:id="rId9" w:history="1">
        <w:r>
          <w:rPr>
            <w:rStyle w:val="Hyperlink"/>
          </w:rPr>
          <w:t>https://www.nhsconfed.org/resources/2020/04/the-impact-of-covid19-on-bme-communities-and-staff</w:t>
        </w:r>
      </w:hyperlink>
    </w:p>
  </w:footnote>
  <w:footnote w:id="47">
    <w:p w14:paraId="6B175181" w14:textId="77777777" w:rsidR="003B3882" w:rsidRDefault="003B3882" w:rsidP="003B3882">
      <w:pPr>
        <w:pStyle w:val="FootnoteText"/>
      </w:pPr>
      <w:r>
        <w:rPr>
          <w:rStyle w:val="FootnoteReference"/>
        </w:rPr>
        <w:footnoteRef/>
      </w:r>
      <w:r>
        <w:t xml:space="preserve"> </w:t>
      </w:r>
      <w:r w:rsidRPr="00562073">
        <w:t>https://www.suttontrust.com/wp-content/uploads/2020/04/COVID-19-and-Social-Mobility-1.pdf</w:t>
      </w:r>
    </w:p>
  </w:footnote>
  <w:footnote w:id="48">
    <w:p w14:paraId="789EA969" w14:textId="77777777" w:rsidR="003B3882" w:rsidRDefault="003B3882" w:rsidP="003B3882">
      <w:pPr>
        <w:pStyle w:val="FootnoteText"/>
      </w:pPr>
      <w:r>
        <w:rPr>
          <w:rStyle w:val="FootnoteReference"/>
        </w:rPr>
        <w:footnoteRef/>
      </w:r>
      <w:r>
        <w:t xml:space="preserve"> </w:t>
      </w:r>
      <w:hyperlink r:id="rId10" w:history="1">
        <w:r>
          <w:rPr>
            <w:rStyle w:val="Hyperlink"/>
          </w:rPr>
          <w:t>https://www.suttontrust.com/wp-content/uploads/2020/04/COVID-19-Impact-Brief-School-Shutdown.pdf</w:t>
        </w:r>
      </w:hyperlink>
    </w:p>
  </w:footnote>
  <w:footnote w:id="49">
    <w:p w14:paraId="79D6228B" w14:textId="77777777" w:rsidR="003B3882" w:rsidRDefault="003B3882" w:rsidP="003B3882">
      <w:pPr>
        <w:pStyle w:val="FootnoteText"/>
      </w:pPr>
      <w:r>
        <w:rPr>
          <w:rStyle w:val="FootnoteReference"/>
        </w:rPr>
        <w:footnoteRef/>
      </w:r>
      <w:r>
        <w:t xml:space="preserve"> </w:t>
      </w:r>
      <w:hyperlink r:id="rId11" w:history="1">
        <w:r>
          <w:rPr>
            <w:rStyle w:val="Hyperlink"/>
          </w:rPr>
          <w:t>https://www.ifs.org.uk/publications/14848</w:t>
        </w:r>
      </w:hyperlink>
    </w:p>
  </w:footnote>
  <w:footnote w:id="50">
    <w:p w14:paraId="26F82303" w14:textId="77777777" w:rsidR="003B3882" w:rsidRDefault="003B3882" w:rsidP="003B3882">
      <w:pPr>
        <w:pStyle w:val="FootnoteText"/>
      </w:pPr>
      <w:r>
        <w:rPr>
          <w:rStyle w:val="FootnoteReference"/>
        </w:rPr>
        <w:footnoteRef/>
      </w:r>
      <w:r>
        <w:t xml:space="preserve"> </w:t>
      </w:r>
      <w:hyperlink r:id="rId12" w:history="1">
        <w:r>
          <w:rPr>
            <w:rStyle w:val="Hyperlink"/>
          </w:rPr>
          <w:t>https://journals.sagepub.com/doi/full/10.1177/0907568218779130</w:t>
        </w:r>
      </w:hyperlink>
    </w:p>
  </w:footnote>
  <w:footnote w:id="51">
    <w:p w14:paraId="1863EEF4" w14:textId="77777777" w:rsidR="003B3882" w:rsidRDefault="003B3882" w:rsidP="003B3882">
      <w:pPr>
        <w:pStyle w:val="FootnoteText"/>
      </w:pPr>
      <w:r>
        <w:rPr>
          <w:rStyle w:val="FootnoteReference"/>
        </w:rPr>
        <w:footnoteRef/>
      </w:r>
      <w:r>
        <w:t xml:space="preserve"> </w:t>
      </w:r>
      <w:hyperlink r:id="rId13" w:history="1">
        <w:r>
          <w:rPr>
            <w:rStyle w:val="Hyperlink"/>
          </w:rPr>
          <w:t>https://www.suttontrust.com/wp-content/uploads/2020/04/COVID-19-Impact-Brief-School-Shutdown.pdf</w:t>
        </w:r>
      </w:hyperlink>
    </w:p>
  </w:footnote>
  <w:footnote w:id="52">
    <w:p w14:paraId="4CD2B758" w14:textId="77777777" w:rsidR="003B3882" w:rsidRDefault="003B3882" w:rsidP="003B3882">
      <w:pPr>
        <w:pStyle w:val="FootnoteText"/>
      </w:pPr>
      <w:r>
        <w:rPr>
          <w:rStyle w:val="FootnoteReference"/>
        </w:rPr>
        <w:footnoteRef/>
      </w:r>
      <w:r>
        <w:t xml:space="preserve"> </w:t>
      </w:r>
      <w:r w:rsidRPr="00C658BE">
        <w:t>https://cfey.org/reports/2020/05/can-summer-schools-help-disadvantaged-pupils-bounce-back-from-covid</w:t>
      </w:r>
    </w:p>
  </w:footnote>
  <w:footnote w:id="53">
    <w:p w14:paraId="4AD0875B" w14:textId="77777777" w:rsidR="003B3882" w:rsidRDefault="003B3882" w:rsidP="003B3882">
      <w:pPr>
        <w:pStyle w:val="FootnoteText"/>
      </w:pPr>
      <w:r>
        <w:rPr>
          <w:rStyle w:val="FootnoteReference"/>
        </w:rPr>
        <w:footnoteRef/>
      </w:r>
      <w:r>
        <w:t xml:space="preserve"> </w:t>
      </w:r>
      <w:r w:rsidRPr="00970920">
        <w:t>https://www.teachfirst.org.uk/press-release/only-2-teachers-working-most-disadvantaged-communities-believe-all-their-pupils-have</w:t>
      </w:r>
    </w:p>
  </w:footnote>
  <w:footnote w:id="54">
    <w:p w14:paraId="3CE58679" w14:textId="77777777" w:rsidR="003B3882" w:rsidRDefault="003B3882" w:rsidP="003B3882">
      <w:pPr>
        <w:pStyle w:val="FootnoteText"/>
      </w:pPr>
      <w:r>
        <w:rPr>
          <w:rStyle w:val="FootnoteReference"/>
        </w:rPr>
        <w:footnoteRef/>
      </w:r>
      <w:r>
        <w:t xml:space="preserve"> </w:t>
      </w:r>
      <w:r w:rsidRPr="00904987">
        <w:t>https://www.suttontrust.com/wp-content/uploads/2020/04/COVID-19-and-Social-Mobility-1.pdf</w:t>
      </w:r>
    </w:p>
  </w:footnote>
  <w:footnote w:id="55">
    <w:p w14:paraId="4C64B6AF" w14:textId="77777777" w:rsidR="003B3882" w:rsidRDefault="003B3882" w:rsidP="003B3882">
      <w:pPr>
        <w:pStyle w:val="FootnoteText"/>
      </w:pPr>
      <w:r>
        <w:rPr>
          <w:rStyle w:val="FootnoteReference"/>
        </w:rPr>
        <w:footnoteRef/>
      </w:r>
      <w:r>
        <w:t xml:space="preserve"> </w:t>
      </w:r>
      <w:r w:rsidRPr="000E34FB">
        <w:t>https://www.suttontrust.com/our-research/school-closures-parent-polling/</w:t>
      </w:r>
    </w:p>
  </w:footnote>
  <w:footnote w:id="56">
    <w:p w14:paraId="4EC13289" w14:textId="77777777" w:rsidR="003B3882" w:rsidRDefault="003B3882" w:rsidP="003B3882">
      <w:pPr>
        <w:pStyle w:val="FootnoteText"/>
      </w:pPr>
      <w:r>
        <w:rPr>
          <w:rStyle w:val="FootnoteReference"/>
        </w:rPr>
        <w:footnoteRef/>
      </w:r>
      <w:r>
        <w:t xml:space="preserve"> </w:t>
      </w:r>
      <w:hyperlink r:id="rId14" w:history="1">
        <w:r>
          <w:rPr>
            <w:rStyle w:val="Hyperlink"/>
          </w:rPr>
          <w:t>https://www.medrxiv.org/content/10.1101/2020.04.01.20050039v1</w:t>
        </w:r>
      </w:hyperlink>
    </w:p>
  </w:footnote>
  <w:footnote w:id="57">
    <w:p w14:paraId="64BC9F3D" w14:textId="77777777" w:rsidR="003B3882" w:rsidRDefault="003B3882" w:rsidP="003B3882">
      <w:pPr>
        <w:pStyle w:val="FootnoteText"/>
      </w:pPr>
      <w:r>
        <w:rPr>
          <w:rStyle w:val="FootnoteReference"/>
        </w:rPr>
        <w:footnoteRef/>
      </w:r>
      <w:r>
        <w:t xml:space="preserve"> </w:t>
      </w:r>
      <w:r w:rsidRPr="008070C5">
        <w:t>https://www.childrenssociety.org.uk/news-and-blogs/our-blog/how-coronavirus-is-affecting-low-income-families</w:t>
      </w:r>
    </w:p>
  </w:footnote>
  <w:footnote w:id="58">
    <w:p w14:paraId="3335CF76" w14:textId="77777777" w:rsidR="003B3882" w:rsidRDefault="003B3882" w:rsidP="003B3882">
      <w:pPr>
        <w:pStyle w:val="FootnoteText"/>
      </w:pPr>
      <w:r>
        <w:rPr>
          <w:rStyle w:val="FootnoteReference"/>
        </w:rPr>
        <w:footnoteRef/>
      </w:r>
      <w:r>
        <w:t xml:space="preserve"> </w:t>
      </w:r>
      <w:r w:rsidRPr="00483845">
        <w:t>https://cpag.org.uk/news-blogs/news-listings/families-hit-harder-because-nothing-children-covid-19-response</w:t>
      </w:r>
    </w:p>
  </w:footnote>
  <w:footnote w:id="59">
    <w:p w14:paraId="3264B5B7" w14:textId="77777777" w:rsidR="003B3882" w:rsidRDefault="003B3882" w:rsidP="003B3882">
      <w:pPr>
        <w:pStyle w:val="FootnoteText"/>
      </w:pPr>
      <w:r>
        <w:rPr>
          <w:rStyle w:val="FootnoteReference"/>
        </w:rPr>
        <w:footnoteRef/>
      </w:r>
      <w:r>
        <w:t xml:space="preserve"> </w:t>
      </w:r>
      <w:hyperlink r:id="rId15" w:history="1">
        <w:r>
          <w:rPr>
            <w:rStyle w:val="Hyperlink"/>
          </w:rPr>
          <w:t>https://www.actionforchildren.org.uk/news-and-blogs/press-releases/2020/march/childrens-charity-frontline-workers-warn-families-fear-going-under-during-coronavirus-outbreak/</w:t>
        </w:r>
      </w:hyperlink>
    </w:p>
  </w:footnote>
  <w:footnote w:id="60">
    <w:p w14:paraId="5C9BEAC5" w14:textId="77777777" w:rsidR="003B3882" w:rsidRDefault="003B3882" w:rsidP="003B3882">
      <w:pPr>
        <w:pStyle w:val="FootnoteText"/>
      </w:pPr>
      <w:r>
        <w:rPr>
          <w:rStyle w:val="FootnoteReference"/>
        </w:rPr>
        <w:footnoteRef/>
      </w:r>
      <w:r>
        <w:t xml:space="preserve"> </w:t>
      </w:r>
      <w:r w:rsidRPr="0033138C">
        <w:t>https://foodfoundation.org.uk/new-food-foundation-survey-five-million-people-living-in-households-with-children-have-experienced-food-insecurity-since-lockdown-started/</w:t>
      </w:r>
    </w:p>
  </w:footnote>
  <w:footnote w:id="61">
    <w:p w14:paraId="648A77BB" w14:textId="77777777" w:rsidR="003B3882" w:rsidRDefault="003B3882" w:rsidP="003B3882">
      <w:pPr>
        <w:pStyle w:val="FootnoteText"/>
      </w:pPr>
      <w:r>
        <w:rPr>
          <w:rStyle w:val="FootnoteReference"/>
        </w:rPr>
        <w:footnoteRef/>
      </w:r>
      <w:r>
        <w:t xml:space="preserve"> </w:t>
      </w:r>
      <w:r w:rsidRPr="00B13ACC">
        <w:t>https://www.childrenscommissioner.gov.uk/wp-content/uploads/2020/04/cco-were-all-in-this-together.pdf</w:t>
      </w:r>
    </w:p>
  </w:footnote>
  <w:footnote w:id="62">
    <w:p w14:paraId="2F203DEA" w14:textId="77777777" w:rsidR="003B3882" w:rsidRDefault="003B3882" w:rsidP="003B3882">
      <w:pPr>
        <w:pStyle w:val="FootnoteText"/>
      </w:pPr>
      <w:r>
        <w:rPr>
          <w:rStyle w:val="FootnoteReference"/>
        </w:rPr>
        <w:footnoteRef/>
      </w:r>
      <w:r>
        <w:t xml:space="preserve"> </w:t>
      </w:r>
      <w:hyperlink r:id="rId16" w:history="1">
        <w:r>
          <w:rPr>
            <w:rStyle w:val="Hyperlink"/>
          </w:rPr>
          <w:t>https://www.lboro.ac.uk/news-events/news/2020/may/coronavirus-lockdown-increase-child-poverty-in-uk/</w:t>
        </w:r>
      </w:hyperlink>
    </w:p>
  </w:footnote>
  <w:footnote w:id="63">
    <w:p w14:paraId="68D36E24" w14:textId="0800B254" w:rsidR="00A74C7C" w:rsidRDefault="00A74C7C">
      <w:pPr>
        <w:pStyle w:val="FootnoteText"/>
      </w:pPr>
      <w:r>
        <w:rPr>
          <w:rStyle w:val="FootnoteReference"/>
        </w:rPr>
        <w:footnoteRef/>
      </w:r>
      <w:r>
        <w:t xml:space="preserve"> </w:t>
      </w:r>
      <w:r w:rsidRPr="00A74C7C">
        <w:t>https://www.thecommunicationtrust.org.uk/media/540327/tct_talkingaboutageneration_report_online.pdf</w:t>
      </w:r>
    </w:p>
  </w:footnote>
  <w:footnote w:id="64">
    <w:p w14:paraId="73033AF4" w14:textId="77777777" w:rsidR="00905F8B" w:rsidRDefault="00905F8B" w:rsidP="00905F8B">
      <w:pPr>
        <w:pStyle w:val="FootnoteText"/>
      </w:pPr>
      <w:r>
        <w:rPr>
          <w:rStyle w:val="FootnoteReference"/>
        </w:rPr>
        <w:footnoteRef/>
      </w:r>
      <w:r>
        <w:t xml:space="preserve"> </w:t>
      </w:r>
      <w:r w:rsidRPr="007E5362">
        <w:t>https://educationendowmentfoundation.org.uk/news/good-literacy-crucial-for-science-achievement-for-disadvantaged-pupils/</w:t>
      </w:r>
    </w:p>
  </w:footnote>
  <w:footnote w:id="65">
    <w:p w14:paraId="5DF9A098" w14:textId="1BA917AB" w:rsidR="00905F8B" w:rsidRDefault="00905F8B" w:rsidP="00905F8B">
      <w:pPr>
        <w:pStyle w:val="FootnoteText"/>
      </w:pPr>
      <w:r>
        <w:rPr>
          <w:rStyle w:val="FootnoteReference"/>
        </w:rPr>
        <w:footnoteRef/>
      </w:r>
      <w:r w:rsidRPr="00AE3111">
        <w:t>https://assets.publishing.service.gov.uk/government/uploads/system/uploads/attachment_data/file/413182/Improving_literacy_in_secondary_schools.pdf</w:t>
      </w:r>
    </w:p>
  </w:footnote>
  <w:footnote w:id="66">
    <w:p w14:paraId="4148596D" w14:textId="40FDBF88" w:rsidR="007E5362" w:rsidRDefault="007E5362">
      <w:pPr>
        <w:pStyle w:val="FootnoteText"/>
      </w:pPr>
      <w:r>
        <w:rPr>
          <w:rStyle w:val="FootnoteReference"/>
        </w:rPr>
        <w:footnoteRef/>
      </w:r>
      <w:r w:rsidRPr="007E5362">
        <w:t>https://assets.publishing.service.gov.uk/government/uploads/system/uploads/attachment_data/file/851798/KS2_Revised_publication_text_2019_v3.pdf</w:t>
      </w:r>
    </w:p>
  </w:footnote>
  <w:footnote w:id="67">
    <w:p w14:paraId="7C60F490" w14:textId="456E64EF" w:rsidR="00662D30" w:rsidRDefault="00662D30">
      <w:pPr>
        <w:pStyle w:val="FootnoteText"/>
      </w:pPr>
      <w:r>
        <w:rPr>
          <w:rStyle w:val="FootnoteReference"/>
        </w:rPr>
        <w:footnoteRef/>
      </w:r>
      <w:r>
        <w:t xml:space="preserve"> </w:t>
      </w:r>
      <w:r w:rsidRPr="00662D30">
        <w:t>https://www.bbc.co.uk/news/education-32891280</w:t>
      </w:r>
    </w:p>
  </w:footnote>
  <w:footnote w:id="68">
    <w:p w14:paraId="6F0510FC" w14:textId="7FF3BB4C" w:rsidR="001E2CA9" w:rsidRDefault="001E2CA9">
      <w:pPr>
        <w:pStyle w:val="FootnoteText"/>
      </w:pPr>
      <w:r>
        <w:rPr>
          <w:rStyle w:val="FootnoteReference"/>
        </w:rPr>
        <w:footnoteRef/>
      </w:r>
      <w:r>
        <w:t xml:space="preserve"> </w:t>
      </w:r>
      <w:r w:rsidRPr="001E2CA9">
        <w:t>http://www.oecd.org/education/skills-beyond-school/building-skills-for-all-review-of-england.pdf</w:t>
      </w:r>
    </w:p>
  </w:footnote>
  <w:footnote w:id="69">
    <w:p w14:paraId="638A5F08" w14:textId="157DE4FD" w:rsidR="00A01772" w:rsidRDefault="00A01772">
      <w:pPr>
        <w:pStyle w:val="FootnoteText"/>
      </w:pPr>
      <w:r>
        <w:rPr>
          <w:rStyle w:val="FootnoteReference"/>
        </w:rPr>
        <w:footnoteRef/>
      </w:r>
      <w:r>
        <w:t xml:space="preserve"> </w:t>
      </w:r>
      <w:r w:rsidRPr="00A01772">
        <w:t>https://cdn.literacytrust.org.uk/media/documents/2014_09_01_free_research_-_literacy_changes_lives_2014.pdf_RJZEXmT.pdf</w:t>
      </w:r>
    </w:p>
  </w:footnote>
  <w:footnote w:id="70">
    <w:p w14:paraId="439F45CD" w14:textId="314FC211" w:rsidR="000122FC" w:rsidRDefault="000122FC">
      <w:pPr>
        <w:pStyle w:val="FootnoteText"/>
      </w:pPr>
      <w:r>
        <w:rPr>
          <w:rStyle w:val="FootnoteReference"/>
        </w:rPr>
        <w:footnoteRef/>
      </w:r>
      <w:r>
        <w:t xml:space="preserve"> </w:t>
      </w:r>
      <w:r w:rsidRPr="000122FC">
        <w:t>https://cdn.literacytrust.org.uk/media/documents/National_Literacy_Trust_-_Literacy_and_life_expectancy_report.pdf</w:t>
      </w:r>
    </w:p>
  </w:footnote>
  <w:footnote w:id="71">
    <w:p w14:paraId="1AD208EE" w14:textId="61A99806" w:rsidR="0068603D" w:rsidRDefault="0068603D">
      <w:pPr>
        <w:pStyle w:val="FootnoteText"/>
      </w:pPr>
      <w:r>
        <w:rPr>
          <w:rStyle w:val="FootnoteReference"/>
        </w:rPr>
        <w:footnoteRef/>
      </w:r>
      <w:r w:rsidRPr="0068603D">
        <w:t>https://assets.publishing.service.gov.uk/government/uploads/system/uploads/attachment_data/file/34667/12-1239-contribution-basic-skills-to-health-outcomes.pdf</w:t>
      </w:r>
    </w:p>
  </w:footnote>
  <w:footnote w:id="72">
    <w:p w14:paraId="27535754" w14:textId="21B6A56E" w:rsidR="00300403" w:rsidRDefault="00300403">
      <w:pPr>
        <w:pStyle w:val="FootnoteText"/>
      </w:pPr>
      <w:r>
        <w:rPr>
          <w:rStyle w:val="FootnoteReference"/>
        </w:rPr>
        <w:footnoteRef/>
      </w:r>
      <w:r>
        <w:t xml:space="preserve"> </w:t>
      </w:r>
      <w:r w:rsidRPr="00300403">
        <w:t>https://www.ncbi.nlm.nih.gov/pubmed/20587683</w:t>
      </w:r>
    </w:p>
  </w:footnote>
  <w:footnote w:id="73">
    <w:p w14:paraId="58A0B0C7" w14:textId="6A7C6EC4" w:rsidR="00C16CFE" w:rsidRDefault="00C16CFE">
      <w:pPr>
        <w:pStyle w:val="FootnoteText"/>
      </w:pPr>
      <w:r>
        <w:rPr>
          <w:rStyle w:val="FootnoteReference"/>
        </w:rPr>
        <w:footnoteRef/>
      </w:r>
      <w:r>
        <w:t xml:space="preserve"> </w:t>
      </w:r>
      <w:r w:rsidRPr="00C16CFE">
        <w:t>https://bjgp.org/content/65/635/e379</w:t>
      </w:r>
    </w:p>
  </w:footnote>
  <w:footnote w:id="74">
    <w:p w14:paraId="1A0FA81F" w14:textId="17F79005" w:rsidR="00296444" w:rsidRDefault="00296444">
      <w:pPr>
        <w:pStyle w:val="FootnoteText"/>
      </w:pPr>
      <w:r>
        <w:rPr>
          <w:rStyle w:val="FootnoteReference"/>
        </w:rPr>
        <w:footnoteRef/>
      </w:r>
      <w:r>
        <w:t xml:space="preserve"> </w:t>
      </w:r>
      <w:r w:rsidRPr="00296444">
        <w:t>http://www.flanderstoday.eu/education/school-experience-biggest-cause-delinquent-behaviour</w:t>
      </w:r>
    </w:p>
  </w:footnote>
  <w:footnote w:id="75">
    <w:p w14:paraId="72E0FECC" w14:textId="77777777" w:rsidR="00E803D2" w:rsidRDefault="00E803D2" w:rsidP="00E803D2">
      <w:pPr>
        <w:pStyle w:val="FootnoteText"/>
      </w:pPr>
      <w:r>
        <w:rPr>
          <w:rStyle w:val="FootnoteReference"/>
        </w:rPr>
        <w:footnoteRef/>
      </w:r>
      <w:r>
        <w:t xml:space="preserve"> </w:t>
      </w:r>
      <w:r w:rsidRPr="00D53C64">
        <w:t>https://cdn.literacytrust.org.uk/media/documents/2014_09_01_free_research_-_literacy_changes_lives_2014.pdf_RJZEXmT.pdf</w:t>
      </w:r>
    </w:p>
  </w:footnote>
  <w:footnote w:id="76">
    <w:p w14:paraId="26A2A7C4" w14:textId="3EFE33A6" w:rsidR="002B6FA2" w:rsidRDefault="002B6FA2">
      <w:pPr>
        <w:pStyle w:val="FootnoteText"/>
      </w:pPr>
      <w:r>
        <w:rPr>
          <w:rStyle w:val="FootnoteReference"/>
        </w:rPr>
        <w:footnoteRef/>
      </w:r>
      <w:r>
        <w:t xml:space="preserve"> ibid</w:t>
      </w:r>
    </w:p>
  </w:footnote>
  <w:footnote w:id="77">
    <w:p w14:paraId="54545E0A" w14:textId="75173B58" w:rsidR="00756BC9" w:rsidRDefault="00756BC9">
      <w:pPr>
        <w:pStyle w:val="FootnoteText"/>
      </w:pPr>
      <w:r>
        <w:rPr>
          <w:rStyle w:val="FootnoteReference"/>
        </w:rPr>
        <w:footnoteRef/>
      </w:r>
      <w:r>
        <w:t xml:space="preserve"> </w:t>
      </w:r>
      <w:r w:rsidR="00EF4E5D">
        <w:t xml:space="preserve">Dyson et al, Developing Children’s Zones for England </w:t>
      </w:r>
    </w:p>
  </w:footnote>
  <w:footnote w:id="78">
    <w:p w14:paraId="298B2E00" w14:textId="12F9B441" w:rsidR="0075223E" w:rsidRDefault="0075223E">
      <w:pPr>
        <w:pStyle w:val="FootnoteText"/>
      </w:pPr>
      <w:r>
        <w:rPr>
          <w:rStyle w:val="FootnoteReference"/>
        </w:rPr>
        <w:footnoteRef/>
      </w:r>
      <w:r>
        <w:t xml:space="preserve"> </w:t>
      </w:r>
      <w:r w:rsidRPr="00023477">
        <w:t>https://www.early-education.org.uk/sites/default/files/CREC%20Early%20Years%20Lit%20Review%202014%20for%20EE.pdf</w:t>
      </w:r>
    </w:p>
  </w:footnote>
  <w:footnote w:id="79">
    <w:p w14:paraId="312E2EBB" w14:textId="1941E288" w:rsidR="0075223E" w:rsidRDefault="0075223E">
      <w:pPr>
        <w:pStyle w:val="FootnoteText"/>
      </w:pPr>
      <w:r>
        <w:rPr>
          <w:rStyle w:val="FootnoteReference"/>
        </w:rPr>
        <w:footnoteRef/>
      </w:r>
      <w:r>
        <w:t xml:space="preserve"> </w:t>
      </w:r>
      <w:r w:rsidRPr="003767B9">
        <w:t>https://childrensneighbourhoods.scot/wp-content/uploads/2019/04/cnsplacebasedapproachesliteraturereview.pdf</w:t>
      </w:r>
    </w:p>
  </w:footnote>
  <w:footnote w:id="80">
    <w:p w14:paraId="1BD463EA" w14:textId="047C5071" w:rsidR="007656BB" w:rsidRDefault="007656BB">
      <w:pPr>
        <w:pStyle w:val="FootnoteText"/>
      </w:pPr>
      <w:r>
        <w:rPr>
          <w:rStyle w:val="FootnoteReference"/>
        </w:rPr>
        <w:footnoteRef/>
      </w:r>
      <w:r>
        <w:t xml:space="preserve"> </w:t>
      </w:r>
      <w:hyperlink r:id="rId17" w:history="1">
        <w:r>
          <w:rPr>
            <w:rStyle w:val="Hyperlink"/>
          </w:rPr>
          <w:t>https://cdn.literacytrust.org.uk/media/documents/ROGO_The_Power_of_Reading_April_2015.pdf</w:t>
        </w:r>
      </w:hyperlink>
    </w:p>
  </w:footnote>
  <w:footnote w:id="81">
    <w:p w14:paraId="375184F4" w14:textId="08C1D0B9" w:rsidR="008A6018" w:rsidRDefault="008A6018">
      <w:pPr>
        <w:pStyle w:val="FootnoteText"/>
      </w:pPr>
      <w:r>
        <w:rPr>
          <w:rStyle w:val="FootnoteReference"/>
        </w:rPr>
        <w:footnoteRef/>
      </w:r>
      <w:hyperlink r:id="rId18" w:history="1">
        <w:r>
          <w:rPr>
            <w:rStyle w:val="Hyperlink"/>
          </w:rPr>
          <w:t>https://educationendowmentfoundation.org.uk/public/files/Publications/Literacy/EEF_KS3_KS4_LITERACY_GUIDANCE.pdf</w:t>
        </w:r>
      </w:hyperlink>
    </w:p>
  </w:footnote>
  <w:footnote w:id="82">
    <w:p w14:paraId="15A2EFAA" w14:textId="4D7496DA" w:rsidR="00F312CA" w:rsidRDefault="00F312CA">
      <w:pPr>
        <w:pStyle w:val="FootnoteText"/>
      </w:pPr>
      <w:r>
        <w:rPr>
          <w:rStyle w:val="FootnoteReference"/>
        </w:rPr>
        <w:footnoteRef/>
      </w:r>
      <w:r>
        <w:t xml:space="preserve"> </w:t>
      </w:r>
      <w:hyperlink r:id="rId19" w:history="1">
        <w:r>
          <w:rPr>
            <w:rStyle w:val="Hyperlink"/>
          </w:rPr>
          <w:t>https://cdn.literacytrust.org.uk/media/documents/ROGO_The_Power_of_Reading_April_2015.pdf</w:t>
        </w:r>
      </w:hyperlink>
    </w:p>
  </w:footnote>
  <w:footnote w:id="83">
    <w:p w14:paraId="161B2954" w14:textId="2F31819F" w:rsidR="00F462B7" w:rsidRDefault="00F462B7">
      <w:pPr>
        <w:pStyle w:val="FootnoteText"/>
      </w:pPr>
      <w:r>
        <w:rPr>
          <w:rStyle w:val="FootnoteReference"/>
        </w:rPr>
        <w:footnoteRef/>
      </w:r>
      <w:r>
        <w:t xml:space="preserve"> </w:t>
      </w:r>
      <w:hyperlink r:id="rId20" w:history="1">
        <w:r>
          <w:rPr>
            <w:rStyle w:val="Hyperlink"/>
          </w:rPr>
          <w:t>https://cdn.literacytrust.org.uk/media/documents/2017_06_30_free_research_-_school_library_review_XxR5qcv.pdf</w:t>
        </w:r>
      </w:hyperlink>
    </w:p>
  </w:footnote>
  <w:footnote w:id="84">
    <w:p w14:paraId="157F1C21" w14:textId="1D662F8A" w:rsidR="0010390B" w:rsidRDefault="0010390B">
      <w:pPr>
        <w:pStyle w:val="FootnoteText"/>
      </w:pPr>
      <w:r>
        <w:rPr>
          <w:rStyle w:val="FootnoteReference"/>
        </w:rPr>
        <w:footnoteRef/>
      </w:r>
      <w:r>
        <w:t xml:space="preserve"> ibid</w:t>
      </w:r>
    </w:p>
  </w:footnote>
  <w:footnote w:id="85">
    <w:p w14:paraId="6C20A609" w14:textId="59BBE35E" w:rsidR="0067215B" w:rsidRDefault="0067215B">
      <w:pPr>
        <w:pStyle w:val="FootnoteText"/>
      </w:pPr>
      <w:r>
        <w:rPr>
          <w:rStyle w:val="FootnoteReference"/>
        </w:rPr>
        <w:footnoteRef/>
      </w:r>
      <w:r>
        <w:t xml:space="preserve"> </w:t>
      </w:r>
      <w:hyperlink r:id="rId21" w:history="1">
        <w:r>
          <w:rPr>
            <w:rStyle w:val="Hyperlink"/>
          </w:rPr>
          <w:t>https://www.greatschoollibraries.org.uk/news</w:t>
        </w:r>
      </w:hyperlink>
    </w:p>
  </w:footnote>
  <w:footnote w:id="86">
    <w:p w14:paraId="3929F68F" w14:textId="7E8B5E9A" w:rsidR="005B1C69" w:rsidRDefault="005B1C69">
      <w:pPr>
        <w:pStyle w:val="FootnoteText"/>
      </w:pPr>
      <w:r>
        <w:rPr>
          <w:rStyle w:val="FootnoteReference"/>
        </w:rPr>
        <w:footnoteRef/>
      </w:r>
      <w:r>
        <w:t xml:space="preserve"> </w:t>
      </w:r>
      <w:hyperlink r:id="rId22" w:history="1">
        <w:r>
          <w:rPr>
            <w:rStyle w:val="Hyperlink"/>
          </w:rPr>
          <w:t>https://literacytrust.org.uk/programmes/love-our-libraries/love-our-libraries-helps-engage-whole-school-steyning-church-england-primary-school/</w:t>
        </w:r>
      </w:hyperlink>
    </w:p>
  </w:footnote>
  <w:footnote w:id="87">
    <w:p w14:paraId="5B2AADA8" w14:textId="77777777" w:rsidR="008A536B" w:rsidRDefault="008A536B" w:rsidP="008A536B">
      <w:pPr>
        <w:pStyle w:val="FootnoteText"/>
      </w:pPr>
      <w:r>
        <w:rPr>
          <w:rStyle w:val="FootnoteReference"/>
        </w:rPr>
        <w:footnoteRef/>
      </w:r>
      <w:r>
        <w:t xml:space="preserve"> </w:t>
      </w:r>
      <w:hyperlink r:id="rId23" w:history="1">
        <w:r>
          <w:rPr>
            <w:rStyle w:val="Hyperlink"/>
          </w:rPr>
          <w:t>https://cdn.literacytrust.org.uk/media/documents/2017_06_30_free_research_-_school_library_review_XxR5qcv.pdf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C9"/>
    <w:multiLevelType w:val="hybridMultilevel"/>
    <w:tmpl w:val="91F257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5514C"/>
    <w:multiLevelType w:val="hybridMultilevel"/>
    <w:tmpl w:val="4EF6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32FA0"/>
    <w:multiLevelType w:val="hybridMultilevel"/>
    <w:tmpl w:val="EF12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719FD"/>
    <w:multiLevelType w:val="hybridMultilevel"/>
    <w:tmpl w:val="6EB0B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E80DD2"/>
    <w:multiLevelType w:val="hybridMultilevel"/>
    <w:tmpl w:val="AB00D4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58F4434"/>
    <w:multiLevelType w:val="hybridMultilevel"/>
    <w:tmpl w:val="1DD4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DC"/>
    <w:rsid w:val="00002980"/>
    <w:rsid w:val="00005431"/>
    <w:rsid w:val="000122FC"/>
    <w:rsid w:val="00012B36"/>
    <w:rsid w:val="0002046C"/>
    <w:rsid w:val="00022444"/>
    <w:rsid w:val="00023477"/>
    <w:rsid w:val="000300CD"/>
    <w:rsid w:val="00031913"/>
    <w:rsid w:val="00032EEF"/>
    <w:rsid w:val="000338D5"/>
    <w:rsid w:val="00042498"/>
    <w:rsid w:val="00053660"/>
    <w:rsid w:val="00055B06"/>
    <w:rsid w:val="00057E05"/>
    <w:rsid w:val="000618DF"/>
    <w:rsid w:val="00067800"/>
    <w:rsid w:val="00082EB5"/>
    <w:rsid w:val="00097A64"/>
    <w:rsid w:val="000A15B0"/>
    <w:rsid w:val="000B2D42"/>
    <w:rsid w:val="000C2639"/>
    <w:rsid w:val="000D3079"/>
    <w:rsid w:val="000E34FB"/>
    <w:rsid w:val="000E3DFE"/>
    <w:rsid w:val="000E4420"/>
    <w:rsid w:val="000E6809"/>
    <w:rsid w:val="000F2BC0"/>
    <w:rsid w:val="000F36AD"/>
    <w:rsid w:val="000F3CDA"/>
    <w:rsid w:val="000F478C"/>
    <w:rsid w:val="000F4A7E"/>
    <w:rsid w:val="000F5141"/>
    <w:rsid w:val="0010091C"/>
    <w:rsid w:val="00102414"/>
    <w:rsid w:val="0010390B"/>
    <w:rsid w:val="00103F68"/>
    <w:rsid w:val="00106065"/>
    <w:rsid w:val="0011360F"/>
    <w:rsid w:val="00116262"/>
    <w:rsid w:val="001210B7"/>
    <w:rsid w:val="00126EF3"/>
    <w:rsid w:val="00127940"/>
    <w:rsid w:val="001401BB"/>
    <w:rsid w:val="00141249"/>
    <w:rsid w:val="001419EA"/>
    <w:rsid w:val="00143A3B"/>
    <w:rsid w:val="00146DF7"/>
    <w:rsid w:val="00146E9C"/>
    <w:rsid w:val="001473A6"/>
    <w:rsid w:val="0015096B"/>
    <w:rsid w:val="00151135"/>
    <w:rsid w:val="00160C57"/>
    <w:rsid w:val="001667B3"/>
    <w:rsid w:val="00170708"/>
    <w:rsid w:val="0017098B"/>
    <w:rsid w:val="001714C6"/>
    <w:rsid w:val="001762FA"/>
    <w:rsid w:val="00176855"/>
    <w:rsid w:val="00183047"/>
    <w:rsid w:val="0018575C"/>
    <w:rsid w:val="00190C39"/>
    <w:rsid w:val="001932A3"/>
    <w:rsid w:val="001A0B0F"/>
    <w:rsid w:val="001A2B46"/>
    <w:rsid w:val="001A7354"/>
    <w:rsid w:val="001B07A2"/>
    <w:rsid w:val="001B2495"/>
    <w:rsid w:val="001C0136"/>
    <w:rsid w:val="001C2668"/>
    <w:rsid w:val="001D07CA"/>
    <w:rsid w:val="001D5868"/>
    <w:rsid w:val="001E2232"/>
    <w:rsid w:val="001E2CA9"/>
    <w:rsid w:val="001F12D1"/>
    <w:rsid w:val="001F1C8F"/>
    <w:rsid w:val="001F57F6"/>
    <w:rsid w:val="002034CA"/>
    <w:rsid w:val="002053C7"/>
    <w:rsid w:val="002065EB"/>
    <w:rsid w:val="00206669"/>
    <w:rsid w:val="002115F1"/>
    <w:rsid w:val="00214149"/>
    <w:rsid w:val="00214884"/>
    <w:rsid w:val="00221C68"/>
    <w:rsid w:val="00226AB6"/>
    <w:rsid w:val="00230A4E"/>
    <w:rsid w:val="00230A83"/>
    <w:rsid w:val="00233A0C"/>
    <w:rsid w:val="00240345"/>
    <w:rsid w:val="00244804"/>
    <w:rsid w:val="00257D5B"/>
    <w:rsid w:val="00264E65"/>
    <w:rsid w:val="00265040"/>
    <w:rsid w:val="00265682"/>
    <w:rsid w:val="00265A1B"/>
    <w:rsid w:val="00265C81"/>
    <w:rsid w:val="002721CB"/>
    <w:rsid w:val="00272B36"/>
    <w:rsid w:val="00272E8A"/>
    <w:rsid w:val="002751AC"/>
    <w:rsid w:val="0027527A"/>
    <w:rsid w:val="0028296E"/>
    <w:rsid w:val="0029163E"/>
    <w:rsid w:val="00296444"/>
    <w:rsid w:val="002A3C8A"/>
    <w:rsid w:val="002B01E6"/>
    <w:rsid w:val="002B6FA2"/>
    <w:rsid w:val="002B739A"/>
    <w:rsid w:val="002C0265"/>
    <w:rsid w:val="002C35C9"/>
    <w:rsid w:val="002C6B0F"/>
    <w:rsid w:val="002D08C2"/>
    <w:rsid w:val="002D1C16"/>
    <w:rsid w:val="002E261F"/>
    <w:rsid w:val="002E5D5B"/>
    <w:rsid w:val="002E615C"/>
    <w:rsid w:val="002F1268"/>
    <w:rsid w:val="002F16FD"/>
    <w:rsid w:val="002F3A12"/>
    <w:rsid w:val="002F6606"/>
    <w:rsid w:val="00300403"/>
    <w:rsid w:val="00306650"/>
    <w:rsid w:val="003144F3"/>
    <w:rsid w:val="003309E0"/>
    <w:rsid w:val="00331B32"/>
    <w:rsid w:val="0033578C"/>
    <w:rsid w:val="00346C7A"/>
    <w:rsid w:val="00347796"/>
    <w:rsid w:val="003537A2"/>
    <w:rsid w:val="00355EFB"/>
    <w:rsid w:val="0035777C"/>
    <w:rsid w:val="003617F5"/>
    <w:rsid w:val="00365915"/>
    <w:rsid w:val="00372BB0"/>
    <w:rsid w:val="003750D8"/>
    <w:rsid w:val="003767B9"/>
    <w:rsid w:val="00380CB0"/>
    <w:rsid w:val="003817A6"/>
    <w:rsid w:val="0038538B"/>
    <w:rsid w:val="00391162"/>
    <w:rsid w:val="00395AA7"/>
    <w:rsid w:val="003A0559"/>
    <w:rsid w:val="003A5A15"/>
    <w:rsid w:val="003B0676"/>
    <w:rsid w:val="003B1650"/>
    <w:rsid w:val="003B3882"/>
    <w:rsid w:val="003B52BA"/>
    <w:rsid w:val="003B5C28"/>
    <w:rsid w:val="003B737E"/>
    <w:rsid w:val="003B786C"/>
    <w:rsid w:val="003C25B7"/>
    <w:rsid w:val="003C3CB5"/>
    <w:rsid w:val="003C77A3"/>
    <w:rsid w:val="003D17D0"/>
    <w:rsid w:val="003D1DA4"/>
    <w:rsid w:val="003F1E0C"/>
    <w:rsid w:val="003F6630"/>
    <w:rsid w:val="003F6BBE"/>
    <w:rsid w:val="00400313"/>
    <w:rsid w:val="004078F9"/>
    <w:rsid w:val="00416874"/>
    <w:rsid w:val="00416ADB"/>
    <w:rsid w:val="0042603B"/>
    <w:rsid w:val="0043600D"/>
    <w:rsid w:val="00444466"/>
    <w:rsid w:val="00445241"/>
    <w:rsid w:val="004455F6"/>
    <w:rsid w:val="00446FC7"/>
    <w:rsid w:val="00447361"/>
    <w:rsid w:val="00452FD3"/>
    <w:rsid w:val="00455B1F"/>
    <w:rsid w:val="004625A0"/>
    <w:rsid w:val="00472008"/>
    <w:rsid w:val="004738CA"/>
    <w:rsid w:val="00474C8F"/>
    <w:rsid w:val="004837EF"/>
    <w:rsid w:val="00486F3E"/>
    <w:rsid w:val="004920B2"/>
    <w:rsid w:val="00493061"/>
    <w:rsid w:val="00493E55"/>
    <w:rsid w:val="00495666"/>
    <w:rsid w:val="00496D03"/>
    <w:rsid w:val="004A0832"/>
    <w:rsid w:val="004A7264"/>
    <w:rsid w:val="004B6F37"/>
    <w:rsid w:val="004C58DA"/>
    <w:rsid w:val="004C7CC8"/>
    <w:rsid w:val="004D0B97"/>
    <w:rsid w:val="004D0D06"/>
    <w:rsid w:val="004D5EEF"/>
    <w:rsid w:val="004E5521"/>
    <w:rsid w:val="004E5529"/>
    <w:rsid w:val="004F11D9"/>
    <w:rsid w:val="004F21E6"/>
    <w:rsid w:val="004F2435"/>
    <w:rsid w:val="004F5D1C"/>
    <w:rsid w:val="004F674E"/>
    <w:rsid w:val="004F7D6B"/>
    <w:rsid w:val="005028A3"/>
    <w:rsid w:val="0050433C"/>
    <w:rsid w:val="00513F36"/>
    <w:rsid w:val="0051554D"/>
    <w:rsid w:val="00521858"/>
    <w:rsid w:val="00525049"/>
    <w:rsid w:val="00527477"/>
    <w:rsid w:val="00533504"/>
    <w:rsid w:val="005339F8"/>
    <w:rsid w:val="00535066"/>
    <w:rsid w:val="00542F77"/>
    <w:rsid w:val="00547549"/>
    <w:rsid w:val="0055184D"/>
    <w:rsid w:val="00557FD9"/>
    <w:rsid w:val="00572C29"/>
    <w:rsid w:val="005775AC"/>
    <w:rsid w:val="00580C44"/>
    <w:rsid w:val="00583D5C"/>
    <w:rsid w:val="00585BEA"/>
    <w:rsid w:val="00590479"/>
    <w:rsid w:val="005905A6"/>
    <w:rsid w:val="00592A64"/>
    <w:rsid w:val="005932A5"/>
    <w:rsid w:val="005A380F"/>
    <w:rsid w:val="005B09EB"/>
    <w:rsid w:val="005B1C69"/>
    <w:rsid w:val="005C48AF"/>
    <w:rsid w:val="005C787F"/>
    <w:rsid w:val="005D3051"/>
    <w:rsid w:val="005D45AD"/>
    <w:rsid w:val="005E01DF"/>
    <w:rsid w:val="00606F13"/>
    <w:rsid w:val="00614EAD"/>
    <w:rsid w:val="0061585B"/>
    <w:rsid w:val="00632B10"/>
    <w:rsid w:val="00632B6C"/>
    <w:rsid w:val="00641940"/>
    <w:rsid w:val="0064688E"/>
    <w:rsid w:val="006546D1"/>
    <w:rsid w:val="00657BF4"/>
    <w:rsid w:val="00662D30"/>
    <w:rsid w:val="006655FD"/>
    <w:rsid w:val="0067215B"/>
    <w:rsid w:val="006746F5"/>
    <w:rsid w:val="006753DA"/>
    <w:rsid w:val="00682605"/>
    <w:rsid w:val="006837B2"/>
    <w:rsid w:val="00683BF0"/>
    <w:rsid w:val="00684556"/>
    <w:rsid w:val="0068603D"/>
    <w:rsid w:val="006860B2"/>
    <w:rsid w:val="0069009C"/>
    <w:rsid w:val="00690CE0"/>
    <w:rsid w:val="006A5532"/>
    <w:rsid w:val="006B0721"/>
    <w:rsid w:val="006B198B"/>
    <w:rsid w:val="006B4616"/>
    <w:rsid w:val="006C245F"/>
    <w:rsid w:val="006C4919"/>
    <w:rsid w:val="006C5E0B"/>
    <w:rsid w:val="006C7E29"/>
    <w:rsid w:val="006D0184"/>
    <w:rsid w:val="006D3547"/>
    <w:rsid w:val="006D7712"/>
    <w:rsid w:val="006E482C"/>
    <w:rsid w:val="006F095E"/>
    <w:rsid w:val="006F0A45"/>
    <w:rsid w:val="006F1712"/>
    <w:rsid w:val="007021AB"/>
    <w:rsid w:val="00702716"/>
    <w:rsid w:val="00703A2C"/>
    <w:rsid w:val="00711883"/>
    <w:rsid w:val="00714DE0"/>
    <w:rsid w:val="00720732"/>
    <w:rsid w:val="007222BB"/>
    <w:rsid w:val="007308C0"/>
    <w:rsid w:val="00736DA7"/>
    <w:rsid w:val="007415A9"/>
    <w:rsid w:val="00741660"/>
    <w:rsid w:val="0074589E"/>
    <w:rsid w:val="00746D25"/>
    <w:rsid w:val="00751E1A"/>
    <w:rsid w:val="0075223E"/>
    <w:rsid w:val="00752B9F"/>
    <w:rsid w:val="00756BC9"/>
    <w:rsid w:val="00756D57"/>
    <w:rsid w:val="00761EE1"/>
    <w:rsid w:val="007624D5"/>
    <w:rsid w:val="0076289D"/>
    <w:rsid w:val="00763887"/>
    <w:rsid w:val="007656BB"/>
    <w:rsid w:val="00770AE4"/>
    <w:rsid w:val="00773E8A"/>
    <w:rsid w:val="0077543D"/>
    <w:rsid w:val="007805DA"/>
    <w:rsid w:val="007819B8"/>
    <w:rsid w:val="007869FD"/>
    <w:rsid w:val="0078743F"/>
    <w:rsid w:val="007905F9"/>
    <w:rsid w:val="00790865"/>
    <w:rsid w:val="007A1647"/>
    <w:rsid w:val="007A2497"/>
    <w:rsid w:val="007A59D7"/>
    <w:rsid w:val="007B611D"/>
    <w:rsid w:val="007B6C81"/>
    <w:rsid w:val="007B7BD6"/>
    <w:rsid w:val="007C2AB8"/>
    <w:rsid w:val="007C3AED"/>
    <w:rsid w:val="007C5389"/>
    <w:rsid w:val="007D2F6D"/>
    <w:rsid w:val="007D3379"/>
    <w:rsid w:val="007D375C"/>
    <w:rsid w:val="007D4439"/>
    <w:rsid w:val="007D66AE"/>
    <w:rsid w:val="007E5362"/>
    <w:rsid w:val="007E6000"/>
    <w:rsid w:val="007E7322"/>
    <w:rsid w:val="007F031D"/>
    <w:rsid w:val="00801FA3"/>
    <w:rsid w:val="00802358"/>
    <w:rsid w:val="008025A8"/>
    <w:rsid w:val="00817275"/>
    <w:rsid w:val="008225A1"/>
    <w:rsid w:val="00824B6D"/>
    <w:rsid w:val="00825B6E"/>
    <w:rsid w:val="00826F35"/>
    <w:rsid w:val="00831B1C"/>
    <w:rsid w:val="00831B30"/>
    <w:rsid w:val="00832062"/>
    <w:rsid w:val="008322D0"/>
    <w:rsid w:val="008327E3"/>
    <w:rsid w:val="0084140E"/>
    <w:rsid w:val="00841C54"/>
    <w:rsid w:val="008424A7"/>
    <w:rsid w:val="00842759"/>
    <w:rsid w:val="00842F43"/>
    <w:rsid w:val="008472C5"/>
    <w:rsid w:val="00851A71"/>
    <w:rsid w:val="0085474A"/>
    <w:rsid w:val="008602B0"/>
    <w:rsid w:val="0088276F"/>
    <w:rsid w:val="00890333"/>
    <w:rsid w:val="00894A78"/>
    <w:rsid w:val="0089592C"/>
    <w:rsid w:val="0089772D"/>
    <w:rsid w:val="008A42AE"/>
    <w:rsid w:val="008A4C8C"/>
    <w:rsid w:val="008A536B"/>
    <w:rsid w:val="008A6018"/>
    <w:rsid w:val="008A6EDF"/>
    <w:rsid w:val="008B24A7"/>
    <w:rsid w:val="008B2DEF"/>
    <w:rsid w:val="008C2ABA"/>
    <w:rsid w:val="008C4760"/>
    <w:rsid w:val="008D51F4"/>
    <w:rsid w:val="008E1505"/>
    <w:rsid w:val="008E6DA9"/>
    <w:rsid w:val="008F1CFE"/>
    <w:rsid w:val="008F5B67"/>
    <w:rsid w:val="008F7645"/>
    <w:rsid w:val="00901D65"/>
    <w:rsid w:val="00904987"/>
    <w:rsid w:val="00904C30"/>
    <w:rsid w:val="009059CE"/>
    <w:rsid w:val="00905F8B"/>
    <w:rsid w:val="009064B4"/>
    <w:rsid w:val="00916DAD"/>
    <w:rsid w:val="0092335E"/>
    <w:rsid w:val="00923AE0"/>
    <w:rsid w:val="00923C1B"/>
    <w:rsid w:val="00924382"/>
    <w:rsid w:val="00924944"/>
    <w:rsid w:val="009260F4"/>
    <w:rsid w:val="0093055B"/>
    <w:rsid w:val="0093097F"/>
    <w:rsid w:val="00932AA3"/>
    <w:rsid w:val="00932C67"/>
    <w:rsid w:val="0093543A"/>
    <w:rsid w:val="009356DA"/>
    <w:rsid w:val="0094226F"/>
    <w:rsid w:val="00944952"/>
    <w:rsid w:val="00947B75"/>
    <w:rsid w:val="00950DB6"/>
    <w:rsid w:val="009520A8"/>
    <w:rsid w:val="009525A1"/>
    <w:rsid w:val="0095444B"/>
    <w:rsid w:val="00955A34"/>
    <w:rsid w:val="009565FA"/>
    <w:rsid w:val="0095713F"/>
    <w:rsid w:val="00961CE1"/>
    <w:rsid w:val="009635AE"/>
    <w:rsid w:val="00970920"/>
    <w:rsid w:val="00976124"/>
    <w:rsid w:val="009856FB"/>
    <w:rsid w:val="00986712"/>
    <w:rsid w:val="009900C9"/>
    <w:rsid w:val="009902E7"/>
    <w:rsid w:val="00993A29"/>
    <w:rsid w:val="009A236A"/>
    <w:rsid w:val="009A43D3"/>
    <w:rsid w:val="009A5F7A"/>
    <w:rsid w:val="009B02BA"/>
    <w:rsid w:val="009B79C6"/>
    <w:rsid w:val="009C4EF3"/>
    <w:rsid w:val="009D173A"/>
    <w:rsid w:val="009D3A31"/>
    <w:rsid w:val="009D3DD1"/>
    <w:rsid w:val="009D4C78"/>
    <w:rsid w:val="009D5CC8"/>
    <w:rsid w:val="00A01772"/>
    <w:rsid w:val="00A0417F"/>
    <w:rsid w:val="00A06C98"/>
    <w:rsid w:val="00A14FB6"/>
    <w:rsid w:val="00A159C8"/>
    <w:rsid w:val="00A23C22"/>
    <w:rsid w:val="00A32D7B"/>
    <w:rsid w:val="00A35002"/>
    <w:rsid w:val="00A370B2"/>
    <w:rsid w:val="00A41224"/>
    <w:rsid w:val="00A45719"/>
    <w:rsid w:val="00A5252F"/>
    <w:rsid w:val="00A53A3C"/>
    <w:rsid w:val="00A54851"/>
    <w:rsid w:val="00A607A9"/>
    <w:rsid w:val="00A60D6C"/>
    <w:rsid w:val="00A64697"/>
    <w:rsid w:val="00A74C7C"/>
    <w:rsid w:val="00A802A0"/>
    <w:rsid w:val="00A84C96"/>
    <w:rsid w:val="00A91103"/>
    <w:rsid w:val="00A912F3"/>
    <w:rsid w:val="00A9554B"/>
    <w:rsid w:val="00AA6283"/>
    <w:rsid w:val="00AA7C3B"/>
    <w:rsid w:val="00AB26B9"/>
    <w:rsid w:val="00AB2E79"/>
    <w:rsid w:val="00AC2D40"/>
    <w:rsid w:val="00AD4137"/>
    <w:rsid w:val="00AE3111"/>
    <w:rsid w:val="00AE3739"/>
    <w:rsid w:val="00AE4D84"/>
    <w:rsid w:val="00AF13D3"/>
    <w:rsid w:val="00AF4A6E"/>
    <w:rsid w:val="00AF4E47"/>
    <w:rsid w:val="00AF628C"/>
    <w:rsid w:val="00B12C98"/>
    <w:rsid w:val="00B13ACC"/>
    <w:rsid w:val="00B2008A"/>
    <w:rsid w:val="00B22D72"/>
    <w:rsid w:val="00B22F88"/>
    <w:rsid w:val="00B4633C"/>
    <w:rsid w:val="00B55298"/>
    <w:rsid w:val="00B60776"/>
    <w:rsid w:val="00B76D66"/>
    <w:rsid w:val="00B84B2D"/>
    <w:rsid w:val="00B8772C"/>
    <w:rsid w:val="00BA0109"/>
    <w:rsid w:val="00BA2804"/>
    <w:rsid w:val="00BB14F4"/>
    <w:rsid w:val="00BB1825"/>
    <w:rsid w:val="00BB241A"/>
    <w:rsid w:val="00BB3862"/>
    <w:rsid w:val="00BB61C0"/>
    <w:rsid w:val="00BD66A2"/>
    <w:rsid w:val="00BE267D"/>
    <w:rsid w:val="00BE2E17"/>
    <w:rsid w:val="00BE68DC"/>
    <w:rsid w:val="00BE75B2"/>
    <w:rsid w:val="00BF4F4D"/>
    <w:rsid w:val="00BF5421"/>
    <w:rsid w:val="00C04588"/>
    <w:rsid w:val="00C16241"/>
    <w:rsid w:val="00C16CFE"/>
    <w:rsid w:val="00C2423C"/>
    <w:rsid w:val="00C24FEE"/>
    <w:rsid w:val="00C25A5F"/>
    <w:rsid w:val="00C3052E"/>
    <w:rsid w:val="00C3689F"/>
    <w:rsid w:val="00C37210"/>
    <w:rsid w:val="00C40AC7"/>
    <w:rsid w:val="00C42F81"/>
    <w:rsid w:val="00C5278F"/>
    <w:rsid w:val="00C5788B"/>
    <w:rsid w:val="00C64859"/>
    <w:rsid w:val="00C65D90"/>
    <w:rsid w:val="00C717BE"/>
    <w:rsid w:val="00C724B0"/>
    <w:rsid w:val="00C72BC5"/>
    <w:rsid w:val="00C81901"/>
    <w:rsid w:val="00C849C4"/>
    <w:rsid w:val="00C850C4"/>
    <w:rsid w:val="00C91FA1"/>
    <w:rsid w:val="00C94A88"/>
    <w:rsid w:val="00CA2289"/>
    <w:rsid w:val="00CA2939"/>
    <w:rsid w:val="00CB23FC"/>
    <w:rsid w:val="00CB7042"/>
    <w:rsid w:val="00CB7C7D"/>
    <w:rsid w:val="00CC0A50"/>
    <w:rsid w:val="00CC56E0"/>
    <w:rsid w:val="00CD66A2"/>
    <w:rsid w:val="00CE1326"/>
    <w:rsid w:val="00CE63B1"/>
    <w:rsid w:val="00CF3183"/>
    <w:rsid w:val="00CF474B"/>
    <w:rsid w:val="00CF55D4"/>
    <w:rsid w:val="00CF79D7"/>
    <w:rsid w:val="00D02443"/>
    <w:rsid w:val="00D0337B"/>
    <w:rsid w:val="00D03FA0"/>
    <w:rsid w:val="00D20A55"/>
    <w:rsid w:val="00D21A49"/>
    <w:rsid w:val="00D21FF0"/>
    <w:rsid w:val="00D25D2B"/>
    <w:rsid w:val="00D40C9F"/>
    <w:rsid w:val="00D42FD7"/>
    <w:rsid w:val="00D4610B"/>
    <w:rsid w:val="00D46B13"/>
    <w:rsid w:val="00D50FC3"/>
    <w:rsid w:val="00D53C64"/>
    <w:rsid w:val="00D54BB9"/>
    <w:rsid w:val="00D60F35"/>
    <w:rsid w:val="00D630C6"/>
    <w:rsid w:val="00D7169C"/>
    <w:rsid w:val="00D72BE2"/>
    <w:rsid w:val="00D75C24"/>
    <w:rsid w:val="00D75EC2"/>
    <w:rsid w:val="00D83923"/>
    <w:rsid w:val="00D858AB"/>
    <w:rsid w:val="00D85CD3"/>
    <w:rsid w:val="00D920F6"/>
    <w:rsid w:val="00D94015"/>
    <w:rsid w:val="00D97AFE"/>
    <w:rsid w:val="00DA0B4E"/>
    <w:rsid w:val="00DA1433"/>
    <w:rsid w:val="00DB06DE"/>
    <w:rsid w:val="00DB54BD"/>
    <w:rsid w:val="00DC2FB0"/>
    <w:rsid w:val="00DC4305"/>
    <w:rsid w:val="00DD627A"/>
    <w:rsid w:val="00DE1229"/>
    <w:rsid w:val="00DE209C"/>
    <w:rsid w:val="00DE34E8"/>
    <w:rsid w:val="00DE3F79"/>
    <w:rsid w:val="00DF02B1"/>
    <w:rsid w:val="00DF0EB5"/>
    <w:rsid w:val="00E05A06"/>
    <w:rsid w:val="00E11C24"/>
    <w:rsid w:val="00E1449D"/>
    <w:rsid w:val="00E168A8"/>
    <w:rsid w:val="00E1799D"/>
    <w:rsid w:val="00E21680"/>
    <w:rsid w:val="00E24DE0"/>
    <w:rsid w:val="00E31DDC"/>
    <w:rsid w:val="00E33B05"/>
    <w:rsid w:val="00E36333"/>
    <w:rsid w:val="00E41A27"/>
    <w:rsid w:val="00E44EEF"/>
    <w:rsid w:val="00E54EC8"/>
    <w:rsid w:val="00E56ECD"/>
    <w:rsid w:val="00E573F3"/>
    <w:rsid w:val="00E63A69"/>
    <w:rsid w:val="00E66DD8"/>
    <w:rsid w:val="00E70116"/>
    <w:rsid w:val="00E70B97"/>
    <w:rsid w:val="00E770D0"/>
    <w:rsid w:val="00E803D2"/>
    <w:rsid w:val="00E9502D"/>
    <w:rsid w:val="00EB1404"/>
    <w:rsid w:val="00EB45C6"/>
    <w:rsid w:val="00EB71D8"/>
    <w:rsid w:val="00EB72CE"/>
    <w:rsid w:val="00EC07A1"/>
    <w:rsid w:val="00EC30F6"/>
    <w:rsid w:val="00ED3F2A"/>
    <w:rsid w:val="00ED690F"/>
    <w:rsid w:val="00EE4883"/>
    <w:rsid w:val="00EE49B8"/>
    <w:rsid w:val="00EE7883"/>
    <w:rsid w:val="00EF1513"/>
    <w:rsid w:val="00EF19AF"/>
    <w:rsid w:val="00EF2FCF"/>
    <w:rsid w:val="00EF4E5D"/>
    <w:rsid w:val="00EF6524"/>
    <w:rsid w:val="00EF6C49"/>
    <w:rsid w:val="00EF7FC4"/>
    <w:rsid w:val="00F0166E"/>
    <w:rsid w:val="00F02BA0"/>
    <w:rsid w:val="00F04E67"/>
    <w:rsid w:val="00F271A4"/>
    <w:rsid w:val="00F276CA"/>
    <w:rsid w:val="00F312CA"/>
    <w:rsid w:val="00F32123"/>
    <w:rsid w:val="00F44AD8"/>
    <w:rsid w:val="00F454CE"/>
    <w:rsid w:val="00F462B7"/>
    <w:rsid w:val="00F53D94"/>
    <w:rsid w:val="00F6576C"/>
    <w:rsid w:val="00F70F9C"/>
    <w:rsid w:val="00F7151C"/>
    <w:rsid w:val="00F770A9"/>
    <w:rsid w:val="00F82044"/>
    <w:rsid w:val="00F82857"/>
    <w:rsid w:val="00F86106"/>
    <w:rsid w:val="00F917B2"/>
    <w:rsid w:val="00F940B1"/>
    <w:rsid w:val="00F969AB"/>
    <w:rsid w:val="00FA19D2"/>
    <w:rsid w:val="00FB11A7"/>
    <w:rsid w:val="00FB1EAA"/>
    <w:rsid w:val="00FB5C50"/>
    <w:rsid w:val="00FC497B"/>
    <w:rsid w:val="00FC7236"/>
    <w:rsid w:val="00FC78E3"/>
    <w:rsid w:val="00FD2B33"/>
    <w:rsid w:val="00FD3070"/>
    <w:rsid w:val="00FE0BA4"/>
    <w:rsid w:val="00FF00CE"/>
    <w:rsid w:val="00FF1098"/>
    <w:rsid w:val="00FF4D25"/>
    <w:rsid w:val="00FF5113"/>
    <w:rsid w:val="00FF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281C"/>
  <w15:chartTrackingRefBased/>
  <w15:docId w15:val="{357F8EE1-BDC0-4E6F-8339-23CD44BC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D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1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7B2"/>
    <w:rPr>
      <w:rFonts w:ascii="Segoe UI" w:hAnsi="Segoe UI" w:cs="Segoe UI"/>
      <w:sz w:val="18"/>
      <w:szCs w:val="18"/>
    </w:rPr>
  </w:style>
  <w:style w:type="paragraph" w:styleId="ListParagraph">
    <w:name w:val="List Paragraph"/>
    <w:basedOn w:val="Normal"/>
    <w:uiPriority w:val="34"/>
    <w:qFormat/>
    <w:rsid w:val="003F6BBE"/>
    <w:pPr>
      <w:spacing w:line="276" w:lineRule="auto"/>
      <w:ind w:left="720"/>
      <w:contextualSpacing/>
    </w:pPr>
    <w:rPr>
      <w:rFonts w:eastAsiaTheme="minorEastAsia"/>
      <w:color w:val="000000" w:themeColor="text1"/>
      <w:sz w:val="24"/>
      <w:szCs w:val="21"/>
    </w:rPr>
  </w:style>
  <w:style w:type="paragraph" w:styleId="FootnoteText">
    <w:name w:val="footnote text"/>
    <w:basedOn w:val="Normal"/>
    <w:link w:val="FootnoteTextChar"/>
    <w:uiPriority w:val="99"/>
    <w:semiHidden/>
    <w:unhideWhenUsed/>
    <w:rsid w:val="008327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7E3"/>
    <w:rPr>
      <w:sz w:val="20"/>
      <w:szCs w:val="20"/>
    </w:rPr>
  </w:style>
  <w:style w:type="character" w:styleId="FootnoteReference">
    <w:name w:val="footnote reference"/>
    <w:basedOn w:val="DefaultParagraphFont"/>
    <w:uiPriority w:val="99"/>
    <w:semiHidden/>
    <w:unhideWhenUsed/>
    <w:rsid w:val="008327E3"/>
    <w:rPr>
      <w:vertAlign w:val="superscript"/>
    </w:rPr>
  </w:style>
  <w:style w:type="character" w:styleId="Hyperlink">
    <w:name w:val="Hyperlink"/>
    <w:basedOn w:val="DefaultParagraphFont"/>
    <w:uiPriority w:val="99"/>
    <w:unhideWhenUsed/>
    <w:rsid w:val="005775AC"/>
    <w:rPr>
      <w:color w:val="0000FF"/>
      <w:u w:val="single"/>
    </w:rPr>
  </w:style>
  <w:style w:type="character" w:customStyle="1" w:styleId="UnresolvedMention1">
    <w:name w:val="Unresolved Mention1"/>
    <w:basedOn w:val="DefaultParagraphFont"/>
    <w:uiPriority w:val="99"/>
    <w:semiHidden/>
    <w:unhideWhenUsed/>
    <w:rsid w:val="005A380F"/>
    <w:rPr>
      <w:color w:val="605E5C"/>
      <w:shd w:val="clear" w:color="auto" w:fill="E1DFDD"/>
    </w:rPr>
  </w:style>
  <w:style w:type="character" w:styleId="FollowedHyperlink">
    <w:name w:val="FollowedHyperlink"/>
    <w:basedOn w:val="DefaultParagraphFont"/>
    <w:uiPriority w:val="99"/>
    <w:semiHidden/>
    <w:unhideWhenUsed/>
    <w:rsid w:val="00851A71"/>
    <w:rPr>
      <w:color w:val="954F72" w:themeColor="followedHyperlink"/>
      <w:u w:val="single"/>
    </w:rPr>
  </w:style>
  <w:style w:type="character" w:customStyle="1" w:styleId="UnresolvedMention">
    <w:name w:val="Unresolved Mention"/>
    <w:basedOn w:val="DefaultParagraphFont"/>
    <w:uiPriority w:val="99"/>
    <w:semiHidden/>
    <w:unhideWhenUsed/>
    <w:rsid w:val="009B7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538">
      <w:bodyDiv w:val="1"/>
      <w:marLeft w:val="0"/>
      <w:marRight w:val="0"/>
      <w:marTop w:val="0"/>
      <w:marBottom w:val="0"/>
      <w:divBdr>
        <w:top w:val="none" w:sz="0" w:space="0" w:color="auto"/>
        <w:left w:val="none" w:sz="0" w:space="0" w:color="auto"/>
        <w:bottom w:val="none" w:sz="0" w:space="0" w:color="auto"/>
        <w:right w:val="none" w:sz="0" w:space="0" w:color="auto"/>
      </w:divBdr>
    </w:div>
    <w:div w:id="83959853">
      <w:bodyDiv w:val="1"/>
      <w:marLeft w:val="0"/>
      <w:marRight w:val="0"/>
      <w:marTop w:val="0"/>
      <w:marBottom w:val="0"/>
      <w:divBdr>
        <w:top w:val="none" w:sz="0" w:space="0" w:color="auto"/>
        <w:left w:val="none" w:sz="0" w:space="0" w:color="auto"/>
        <w:bottom w:val="none" w:sz="0" w:space="0" w:color="auto"/>
        <w:right w:val="none" w:sz="0" w:space="0" w:color="auto"/>
      </w:divBdr>
    </w:div>
    <w:div w:id="177233131">
      <w:bodyDiv w:val="1"/>
      <w:marLeft w:val="0"/>
      <w:marRight w:val="0"/>
      <w:marTop w:val="0"/>
      <w:marBottom w:val="0"/>
      <w:divBdr>
        <w:top w:val="none" w:sz="0" w:space="0" w:color="auto"/>
        <w:left w:val="none" w:sz="0" w:space="0" w:color="auto"/>
        <w:bottom w:val="none" w:sz="0" w:space="0" w:color="auto"/>
        <w:right w:val="none" w:sz="0" w:space="0" w:color="auto"/>
      </w:divBdr>
    </w:div>
    <w:div w:id="209730628">
      <w:bodyDiv w:val="1"/>
      <w:marLeft w:val="0"/>
      <w:marRight w:val="0"/>
      <w:marTop w:val="0"/>
      <w:marBottom w:val="0"/>
      <w:divBdr>
        <w:top w:val="none" w:sz="0" w:space="0" w:color="auto"/>
        <w:left w:val="none" w:sz="0" w:space="0" w:color="auto"/>
        <w:bottom w:val="none" w:sz="0" w:space="0" w:color="auto"/>
        <w:right w:val="none" w:sz="0" w:space="0" w:color="auto"/>
      </w:divBdr>
    </w:div>
    <w:div w:id="257759394">
      <w:bodyDiv w:val="1"/>
      <w:marLeft w:val="0"/>
      <w:marRight w:val="0"/>
      <w:marTop w:val="0"/>
      <w:marBottom w:val="0"/>
      <w:divBdr>
        <w:top w:val="none" w:sz="0" w:space="0" w:color="auto"/>
        <w:left w:val="none" w:sz="0" w:space="0" w:color="auto"/>
        <w:bottom w:val="none" w:sz="0" w:space="0" w:color="auto"/>
        <w:right w:val="none" w:sz="0" w:space="0" w:color="auto"/>
      </w:divBdr>
    </w:div>
    <w:div w:id="1060983891">
      <w:bodyDiv w:val="1"/>
      <w:marLeft w:val="0"/>
      <w:marRight w:val="0"/>
      <w:marTop w:val="0"/>
      <w:marBottom w:val="0"/>
      <w:divBdr>
        <w:top w:val="none" w:sz="0" w:space="0" w:color="auto"/>
        <w:left w:val="none" w:sz="0" w:space="0" w:color="auto"/>
        <w:bottom w:val="none" w:sz="0" w:space="0" w:color="auto"/>
        <w:right w:val="none" w:sz="0" w:space="0" w:color="auto"/>
      </w:divBdr>
    </w:div>
    <w:div w:id="1493915043">
      <w:bodyDiv w:val="1"/>
      <w:marLeft w:val="0"/>
      <w:marRight w:val="0"/>
      <w:marTop w:val="0"/>
      <w:marBottom w:val="0"/>
      <w:divBdr>
        <w:top w:val="none" w:sz="0" w:space="0" w:color="auto"/>
        <w:left w:val="none" w:sz="0" w:space="0" w:color="auto"/>
        <w:bottom w:val="none" w:sz="0" w:space="0" w:color="auto"/>
        <w:right w:val="none" w:sz="0" w:space="0" w:color="auto"/>
      </w:divBdr>
    </w:div>
    <w:div w:id="18042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nstituteforgovernment.org.uk/sites/default/files/publications/MINDSPACE.pdf" TargetMode="External"/><Relationship Id="rId13" Type="http://schemas.openxmlformats.org/officeDocument/2006/relationships/hyperlink" Target="https://www.suttontrust.com/wp-content/uploads/2020/04/COVID-19-Impact-Brief-School-Shutdown.pdf" TargetMode="External"/><Relationship Id="rId18" Type="http://schemas.openxmlformats.org/officeDocument/2006/relationships/hyperlink" Target="https://educationendowmentfoundation.org.uk/public/files/Publications/Literacy/EEF_KS3_KS4_LITERACY_GUIDANCE.pdf" TargetMode="External"/><Relationship Id="rId3" Type="http://schemas.openxmlformats.org/officeDocument/2006/relationships/hyperlink" Target="https://literacytrust.org.uk/policy-and-campaigns/all-party-parliamentary-group-literacy/literacy-score-mapping-literacy-need-across-england/" TargetMode="External"/><Relationship Id="rId21" Type="http://schemas.openxmlformats.org/officeDocument/2006/relationships/hyperlink" Target="https://www.greatschoollibraries.org.uk/news" TargetMode="External"/><Relationship Id="rId7" Type="http://schemas.openxmlformats.org/officeDocument/2006/relationships/hyperlink" Target="https://literacytrust.org.uk/research-services/research-reports/premier-league-reading-stars-evaluation-reports-201516/" TargetMode="External"/><Relationship Id="rId12" Type="http://schemas.openxmlformats.org/officeDocument/2006/relationships/hyperlink" Target="https://journals.sagepub.com/doi/full/10.1177/0907568218779130" TargetMode="External"/><Relationship Id="rId17" Type="http://schemas.openxmlformats.org/officeDocument/2006/relationships/hyperlink" Target="https://cdn.literacytrust.org.uk/media/documents/ROGO_The_Power_of_Reading_April_2015.pdf" TargetMode="External"/><Relationship Id="rId2" Type="http://schemas.openxmlformats.org/officeDocument/2006/relationships/hyperlink" Target="https://jech.bmj.com/content/57/9/699" TargetMode="External"/><Relationship Id="rId16" Type="http://schemas.openxmlformats.org/officeDocument/2006/relationships/hyperlink" Target="https://www.lboro.ac.uk/news-events/news/2020/may/coronavirus-lockdown-increase-child-poverty-in-uk/" TargetMode="External"/><Relationship Id="rId20" Type="http://schemas.openxmlformats.org/officeDocument/2006/relationships/hyperlink" Target="https://cdn.literacytrust.org.uk/media/documents/2017_06_30_free_research_-_school_library_review_XxR5qcv.pdf" TargetMode="External"/><Relationship Id="rId1" Type="http://schemas.openxmlformats.org/officeDocument/2006/relationships/hyperlink" Target="http://data.parliament.uk/writtenevidence/WrittenEvidence.svc/EvidenceHtml/2577" TargetMode="External"/><Relationship Id="rId6" Type="http://schemas.openxmlformats.org/officeDocument/2006/relationships/hyperlink" Target="https://assets.publishing.service.gov.uk/government/uploads/system/uploads/attachment_data/file/756020/Improving_the_home_learning_environment.pdf" TargetMode="External"/><Relationship Id="rId11" Type="http://schemas.openxmlformats.org/officeDocument/2006/relationships/hyperlink" Target="https://www.ifs.org.uk/publications/14848" TargetMode="External"/><Relationship Id="rId5" Type="http://schemas.openxmlformats.org/officeDocument/2006/relationships/hyperlink" Target="https://assets.publishing.service.gov.uk/government/uploads/system/uploads/attachment_data/file/183539/DFE-RR172a.pdf" TargetMode="External"/><Relationship Id="rId15" Type="http://schemas.openxmlformats.org/officeDocument/2006/relationships/hyperlink" Target="https://www.actionforchildren.org.uk/news-and-blogs/press-releases/2020/march/childrens-charity-frontline-workers-warn-families-fear-going-under-during-coronavirus-outbreak/" TargetMode="External"/><Relationship Id="rId23" Type="http://schemas.openxmlformats.org/officeDocument/2006/relationships/hyperlink" Target="https://cdn.literacytrust.org.uk/media/documents/2017_06_30_free_research_-_school_library_review_XxR5qcv.pdf" TargetMode="External"/><Relationship Id="rId10" Type="http://schemas.openxmlformats.org/officeDocument/2006/relationships/hyperlink" Target="https://www.suttontrust.com/wp-content/uploads/2020/04/COVID-19-Impact-Brief-School-Shutdown.pdf" TargetMode="External"/><Relationship Id="rId19" Type="http://schemas.openxmlformats.org/officeDocument/2006/relationships/hyperlink" Target="https://cdn.literacytrust.org.uk/media/documents/ROGO_The_Power_of_Reading_April_2015.pdf" TargetMode="External"/><Relationship Id="rId4" Type="http://schemas.openxmlformats.org/officeDocument/2006/relationships/hyperlink" Target="https://cdn.literacytrust.org.uk/media/documents/National_Literacy_Trust_Hubs_a_place_based_response_to_low_literacy.pdf" TargetMode="External"/><Relationship Id="rId9" Type="http://schemas.openxmlformats.org/officeDocument/2006/relationships/hyperlink" Target="https://www.nhsconfed.org/resources/2020/04/the-impact-of-covid19-on-bme-communities-and-staff" TargetMode="External"/><Relationship Id="rId14" Type="http://schemas.openxmlformats.org/officeDocument/2006/relationships/hyperlink" Target="https://www.medrxiv.org/content/10.1101/2020.04.01.20050039v1" TargetMode="External"/><Relationship Id="rId22" Type="http://schemas.openxmlformats.org/officeDocument/2006/relationships/hyperlink" Target="https://literacytrust.org.uk/programmes/love-our-libraries/love-our-libraries-helps-engage-whole-school-steyning-church-england-primar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70C13-6425-4B3A-83F3-9D21C608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Crew</dc:creator>
  <cp:keywords/>
  <dc:description/>
  <cp:lastModifiedBy>Melanie Crew</cp:lastModifiedBy>
  <cp:revision>3</cp:revision>
  <dcterms:created xsi:type="dcterms:W3CDTF">2020-06-01T10:46:00Z</dcterms:created>
  <dcterms:modified xsi:type="dcterms:W3CDTF">2020-06-05T16:21:00Z</dcterms:modified>
</cp:coreProperties>
</file>